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1BB" w:rsidRPr="008E2D91" w:rsidRDefault="001711BB" w:rsidP="008E2D91">
      <w:pPr>
        <w:shd w:val="clear" w:color="auto" w:fill="FFFFFF"/>
        <w:tabs>
          <w:tab w:val="left" w:pos="360"/>
        </w:tabs>
        <w:spacing w:after="0" w:line="240" w:lineRule="auto"/>
        <w:rPr>
          <w:b/>
          <w:noProof/>
          <w:lang w:val="ro-RO"/>
        </w:rPr>
      </w:pPr>
      <w:bookmarkStart w:id="0" w:name="_GoBack"/>
      <w:bookmarkEnd w:id="0"/>
    </w:p>
    <w:p w:rsidR="007B1608" w:rsidRDefault="007B1608" w:rsidP="005F7190">
      <w:pPr>
        <w:shd w:val="clear" w:color="auto" w:fill="FFFFFF"/>
        <w:tabs>
          <w:tab w:val="left" w:pos="360"/>
        </w:tabs>
        <w:spacing w:after="0" w:line="240" w:lineRule="auto"/>
        <w:ind w:left="360"/>
        <w:jc w:val="center"/>
        <w:rPr>
          <w:b/>
          <w:noProof/>
          <w:lang w:val="ro-RO"/>
        </w:rPr>
      </w:pPr>
    </w:p>
    <w:p w:rsidR="007B1608" w:rsidRDefault="007B1608" w:rsidP="005F7190">
      <w:pPr>
        <w:shd w:val="clear" w:color="auto" w:fill="FFFFFF"/>
        <w:tabs>
          <w:tab w:val="left" w:pos="360"/>
        </w:tabs>
        <w:spacing w:after="0" w:line="240" w:lineRule="auto"/>
        <w:ind w:left="360"/>
        <w:jc w:val="center"/>
        <w:rPr>
          <w:b/>
          <w:noProof/>
          <w:lang w:val="ro-RO"/>
        </w:rPr>
      </w:pPr>
    </w:p>
    <w:p w:rsidR="009F67CF" w:rsidRDefault="009F67CF" w:rsidP="008A458D">
      <w:pPr>
        <w:shd w:val="clear" w:color="auto" w:fill="FFFFFF"/>
        <w:tabs>
          <w:tab w:val="left" w:pos="360"/>
        </w:tabs>
        <w:spacing w:after="0" w:line="240" w:lineRule="auto"/>
        <w:rPr>
          <w:b/>
          <w:noProof/>
          <w:lang w:val="ro-RO"/>
        </w:rPr>
      </w:pPr>
    </w:p>
    <w:p w:rsidR="005B5C7B" w:rsidRPr="00F300D8" w:rsidRDefault="0064237C" w:rsidP="005F7190">
      <w:pPr>
        <w:shd w:val="clear" w:color="auto" w:fill="FFFFFF"/>
        <w:tabs>
          <w:tab w:val="left" w:pos="360"/>
        </w:tabs>
        <w:spacing w:after="0" w:line="240" w:lineRule="auto"/>
        <w:ind w:left="360"/>
        <w:jc w:val="center"/>
        <w:rPr>
          <w:b/>
          <w:noProof/>
          <w:lang w:val="ro-RO"/>
        </w:rPr>
      </w:pPr>
      <w:r>
        <w:rPr>
          <w:b/>
          <w:noProof/>
          <w:lang w:val="ro-RO"/>
        </w:rPr>
        <w:t>III</w:t>
      </w:r>
      <w:r w:rsidR="00840BF8">
        <w:rPr>
          <w:b/>
          <w:noProof/>
          <w:lang w:val="ro-RO"/>
        </w:rPr>
        <w:t>.</w:t>
      </w:r>
      <w:r w:rsidR="003F2AD4">
        <w:rPr>
          <w:b/>
          <w:noProof/>
          <w:lang w:val="ro-RO"/>
        </w:rPr>
        <w:t xml:space="preserve"> </w:t>
      </w:r>
      <w:r w:rsidR="00D329E9" w:rsidRPr="00F300D8">
        <w:rPr>
          <w:b/>
          <w:noProof/>
          <w:lang w:val="ro-RO"/>
        </w:rPr>
        <w:t xml:space="preserve">Conformitatea cu </w:t>
      </w:r>
      <w:r w:rsidR="00136FEB" w:rsidRPr="00F300D8">
        <w:rPr>
          <w:b/>
          <w:noProof/>
          <w:lang w:val="ro-RO"/>
        </w:rPr>
        <w:t>prevederile</w:t>
      </w:r>
      <w:r w:rsidR="00D329E9" w:rsidRPr="00F300D8">
        <w:rPr>
          <w:b/>
          <w:noProof/>
          <w:lang w:val="ro-RO"/>
        </w:rPr>
        <w:t xml:space="preserve"> Regulamentul</w:t>
      </w:r>
      <w:r w:rsidR="00980227">
        <w:rPr>
          <w:b/>
          <w:noProof/>
          <w:lang w:val="ro-RO"/>
        </w:rPr>
        <w:t>ui</w:t>
      </w:r>
      <w:r w:rsidR="00D329E9" w:rsidRPr="00F300D8">
        <w:rPr>
          <w:b/>
          <w:noProof/>
          <w:lang w:val="ro-RO"/>
        </w:rPr>
        <w:t xml:space="preserve"> 651/2014 privind ajutorul de stat exceptat de la notificare</w:t>
      </w:r>
      <w:r w:rsidR="00B1772C" w:rsidRPr="00F300D8">
        <w:rPr>
          <w:rFonts w:eastAsia="Times New Roman" w:cs="Times New Roman"/>
          <w:bCs/>
          <w:sz w:val="20"/>
          <w:szCs w:val="20"/>
          <w:vertAlign w:val="superscript"/>
          <w:lang w:val="gsw-FR" w:eastAsia="sk-SK"/>
        </w:rPr>
        <w:footnoteReference w:id="1"/>
      </w:r>
      <w:r w:rsidR="00160A19" w:rsidRPr="00160A19">
        <w:t xml:space="preserve"> </w:t>
      </w:r>
      <w:r w:rsidR="00160A19">
        <w:t>și</w:t>
      </w:r>
      <w:r w:rsidR="00980227">
        <w:t xml:space="preserve"> ale</w:t>
      </w:r>
      <w:r w:rsidR="00160A19">
        <w:t xml:space="preserve"> </w:t>
      </w:r>
      <w:r w:rsidR="00160A19" w:rsidRPr="00160A19">
        <w:rPr>
          <w:b/>
          <w:noProof/>
          <w:lang w:val="ro-RO"/>
        </w:rPr>
        <w:t>Schem</w:t>
      </w:r>
      <w:r w:rsidR="00980227">
        <w:rPr>
          <w:b/>
          <w:noProof/>
          <w:lang w:val="ro-RO"/>
        </w:rPr>
        <w:t>ei</w:t>
      </w:r>
      <w:r w:rsidR="00160A19">
        <w:rPr>
          <w:b/>
          <w:noProof/>
          <w:lang w:val="ro-RO"/>
        </w:rPr>
        <w:t xml:space="preserve"> </w:t>
      </w:r>
      <w:r w:rsidR="00160A19" w:rsidRPr="00160A19">
        <w:rPr>
          <w:b/>
          <w:noProof/>
          <w:lang w:val="ro-RO"/>
        </w:rPr>
        <w:t>de ajutor de stat privind sprijinirea investițiilor în dezvoltarea infrastructurii de termoficare centralizată - componenta distribuție.</w:t>
      </w:r>
    </w:p>
    <w:p w:rsidR="00B52A1F" w:rsidRDefault="005B5C7B" w:rsidP="00E30934">
      <w:pPr>
        <w:pStyle w:val="ListParagraph"/>
        <w:shd w:val="clear" w:color="auto" w:fill="FFFFFF"/>
        <w:spacing w:after="0" w:line="240" w:lineRule="auto"/>
        <w:ind w:left="1080"/>
        <w:jc w:val="center"/>
        <w:rPr>
          <w:i/>
          <w:noProof/>
          <w:lang w:val="ro-RO"/>
        </w:rPr>
      </w:pPr>
      <w:r w:rsidRPr="00F300D8">
        <w:rPr>
          <w:i/>
          <w:noProof/>
          <w:lang w:val="ro-RO"/>
        </w:rPr>
        <w:t xml:space="preserve">(pentru proiectele </w:t>
      </w:r>
      <w:r w:rsidR="00712156">
        <w:rPr>
          <w:i/>
          <w:noProof/>
          <w:lang w:val="ro-RO"/>
        </w:rPr>
        <w:t xml:space="preserve">de investiții în rețele </w:t>
      </w:r>
      <w:r w:rsidR="00980227">
        <w:rPr>
          <w:i/>
          <w:noProof/>
          <w:lang w:val="ro-RO"/>
        </w:rPr>
        <w:t>termice</w:t>
      </w:r>
      <w:r w:rsidR="00712156" w:rsidRPr="00F300D8">
        <w:rPr>
          <w:i/>
          <w:noProof/>
          <w:lang w:val="ro-RO"/>
        </w:rPr>
        <w:t xml:space="preserve"> </w:t>
      </w:r>
      <w:r w:rsidRPr="00F300D8">
        <w:rPr>
          <w:i/>
          <w:noProof/>
          <w:lang w:val="ro-RO"/>
        </w:rPr>
        <w:t xml:space="preserve">din cadrul OS </w:t>
      </w:r>
      <w:r w:rsidR="008E2D91" w:rsidRPr="00F300D8">
        <w:rPr>
          <w:i/>
          <w:noProof/>
          <w:lang w:val="ro-RO"/>
        </w:rPr>
        <w:t>7.1</w:t>
      </w:r>
      <w:r w:rsidR="00E30934">
        <w:rPr>
          <w:i/>
          <w:noProof/>
          <w:lang w:val="ro-RO"/>
        </w:rPr>
        <w:t xml:space="preserve"> a căror </w:t>
      </w:r>
      <w:r w:rsidR="00E30934" w:rsidRPr="00770CE3">
        <w:rPr>
          <w:i/>
          <w:noProof/>
          <w:lang w:val="ro-RO"/>
        </w:rPr>
        <w:t>finanțare</w:t>
      </w:r>
      <w:r w:rsidR="00E30934" w:rsidRPr="00770CE3">
        <w:rPr>
          <w:i/>
          <w:noProof/>
          <w:u w:val="single"/>
          <w:lang w:val="ro-RO"/>
        </w:rPr>
        <w:t xml:space="preserve"> </w:t>
      </w:r>
      <w:r w:rsidR="003E1CE8" w:rsidRPr="003E1CE8">
        <w:rPr>
          <w:i/>
          <w:noProof/>
          <w:u w:val="single"/>
          <w:lang w:val="ro-RO"/>
        </w:rPr>
        <w:t>intră sub incidența ajutorului de stat)</w:t>
      </w:r>
      <w:r w:rsidR="00E30934">
        <w:rPr>
          <w:i/>
          <w:noProof/>
          <w:lang w:val="ro-RO"/>
        </w:rPr>
        <w:t>)</w:t>
      </w:r>
    </w:p>
    <w:p w:rsidR="00293849" w:rsidRPr="00F300D8" w:rsidRDefault="00293849" w:rsidP="004B09B7">
      <w:pPr>
        <w:pStyle w:val="ListParagraph"/>
        <w:shd w:val="clear" w:color="auto" w:fill="FFFFFF"/>
        <w:spacing w:after="0" w:line="240" w:lineRule="auto"/>
        <w:ind w:left="1080"/>
        <w:rPr>
          <w:i/>
          <w:noProof/>
          <w:lang w:val="ro-RO"/>
        </w:rPr>
      </w:pPr>
    </w:p>
    <w:p w:rsidR="00C456E8" w:rsidRPr="00F300D8" w:rsidRDefault="00C456E8" w:rsidP="00D329E9">
      <w:pPr>
        <w:shd w:val="clear" w:color="auto" w:fill="FFFFFF"/>
        <w:spacing w:after="0" w:line="240" w:lineRule="auto"/>
        <w:jc w:val="both"/>
        <w:rPr>
          <w:b/>
          <w:i/>
          <w:noProof/>
          <w:lang w:val="ro-RO"/>
        </w:rPr>
      </w:pPr>
    </w:p>
    <w:p w:rsidR="00C456E8" w:rsidRPr="00F300D8" w:rsidRDefault="00B52A1F" w:rsidP="00C456E8">
      <w:pPr>
        <w:shd w:val="clear" w:color="auto" w:fill="FFFFFF"/>
        <w:spacing w:after="0" w:line="240" w:lineRule="auto"/>
        <w:jc w:val="both"/>
        <w:rPr>
          <w:b/>
          <w:i/>
          <w:noProof/>
          <w:lang w:val="ro-RO"/>
        </w:rPr>
      </w:pPr>
      <w:r w:rsidRPr="00F300D8">
        <w:rPr>
          <w:b/>
          <w:noProof/>
          <w:lang w:val="ro-RO"/>
        </w:rPr>
        <w:t xml:space="preserve">1. </w:t>
      </w:r>
      <w:r w:rsidR="00C456E8" w:rsidRPr="00F300D8">
        <w:rPr>
          <w:b/>
          <w:noProof/>
          <w:lang w:val="ro-RO"/>
        </w:rPr>
        <w:t xml:space="preserve">Reguli </w:t>
      </w:r>
      <w:r w:rsidR="00E77C31" w:rsidRPr="00F300D8">
        <w:rPr>
          <w:b/>
          <w:noProof/>
          <w:lang w:val="ro-RO"/>
        </w:rPr>
        <w:t xml:space="preserve">cu caracter general prevăzute în Capitolul </w:t>
      </w:r>
      <w:r w:rsidR="00C456E8" w:rsidRPr="00F300D8">
        <w:rPr>
          <w:b/>
          <w:noProof/>
          <w:lang w:val="ro-RO"/>
        </w:rPr>
        <w:t>I</w:t>
      </w:r>
      <w:r w:rsidR="00A22C57" w:rsidRPr="00F300D8">
        <w:rPr>
          <w:b/>
          <w:noProof/>
          <w:lang w:val="ro-RO"/>
        </w:rPr>
        <w:t xml:space="preserve"> al </w:t>
      </w:r>
      <w:r w:rsidR="0061296D" w:rsidRPr="00F300D8">
        <w:rPr>
          <w:b/>
          <w:i/>
          <w:noProof/>
          <w:lang w:val="ro-RO"/>
        </w:rPr>
        <w:t>Regulamentul</w:t>
      </w:r>
      <w:r w:rsidR="00335A65" w:rsidRPr="00F300D8">
        <w:rPr>
          <w:b/>
          <w:i/>
          <w:noProof/>
          <w:lang w:val="ro-RO"/>
        </w:rPr>
        <w:t>ui</w:t>
      </w:r>
      <w:r w:rsidR="0061296D" w:rsidRPr="00F300D8">
        <w:rPr>
          <w:b/>
          <w:i/>
          <w:noProof/>
          <w:lang w:val="ro-RO"/>
        </w:rPr>
        <w:t xml:space="preserve"> (UE) nr.651/2014 de declarare a anumitor categorii de ajutoare compatibile cu piața internă în aplicarea articolelor 107 și 108 din tratat</w:t>
      </w:r>
    </w:p>
    <w:p w:rsidR="00D90E91" w:rsidRPr="00F300D8" w:rsidRDefault="00D90E91" w:rsidP="00D90E91">
      <w:pPr>
        <w:shd w:val="clear" w:color="auto" w:fill="FFFFFF"/>
        <w:spacing w:before="100" w:beforeAutospacing="1" w:after="100" w:afterAutospacing="1" w:line="240" w:lineRule="auto"/>
        <w:jc w:val="both"/>
        <w:rPr>
          <w:b/>
          <w:noProof/>
          <w:u w:val="single"/>
          <w:lang w:val="ro-RO"/>
        </w:rPr>
      </w:pPr>
      <w:r w:rsidRPr="00F300D8">
        <w:rPr>
          <w:b/>
          <w:noProof/>
          <w:u w:val="single"/>
          <w:lang w:val="ro-RO"/>
        </w:rPr>
        <w:t>Art.2, alin. 23.</w:t>
      </w:r>
      <w:r w:rsidR="00BD6E19" w:rsidRPr="00F300D8">
        <w:rPr>
          <w:b/>
          <w:noProof/>
          <w:u w:val="single"/>
          <w:lang w:val="ro-RO"/>
        </w:rPr>
        <w:t xml:space="preserve"> </w:t>
      </w:r>
      <w:r w:rsidRPr="00F300D8">
        <w:rPr>
          <w:b/>
          <w:noProof/>
          <w:u w:val="single"/>
          <w:lang w:val="ro-RO"/>
        </w:rPr>
        <w:t>Demararea lucrărilor</w:t>
      </w:r>
    </w:p>
    <w:tbl>
      <w:tblPr>
        <w:tblStyle w:val="TableGrid"/>
        <w:tblW w:w="0" w:type="auto"/>
        <w:tblLook w:val="04A0" w:firstRow="1" w:lastRow="0" w:firstColumn="1" w:lastColumn="0" w:noHBand="0" w:noVBand="1"/>
      </w:tblPr>
      <w:tblGrid>
        <w:gridCol w:w="9350"/>
      </w:tblGrid>
      <w:tr w:rsidR="00D90E91" w:rsidRPr="00F300D8" w:rsidTr="00057D2B">
        <w:tc>
          <w:tcPr>
            <w:tcW w:w="9350" w:type="dxa"/>
          </w:tcPr>
          <w:p w:rsidR="00D90E91" w:rsidRPr="00F300D8" w:rsidRDefault="00D90E91" w:rsidP="001C3062">
            <w:pPr>
              <w:autoSpaceDE w:val="0"/>
              <w:autoSpaceDN w:val="0"/>
              <w:adjustRightInd w:val="0"/>
              <w:jc w:val="both"/>
              <w:rPr>
                <w:rFonts w:eastAsia="Times New Roman" w:cs="Times New Roman"/>
                <w:i/>
                <w:szCs w:val="24"/>
                <w:lang w:val="ro-RO" w:eastAsia="ro-RO"/>
              </w:rPr>
            </w:pPr>
            <w:r w:rsidRPr="00F300D8">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rsidR="00D90E91" w:rsidRPr="00F300D8" w:rsidRDefault="00D90E91" w:rsidP="008E2D91">
            <w:pPr>
              <w:autoSpaceDE w:val="0"/>
              <w:autoSpaceDN w:val="0"/>
              <w:adjustRightInd w:val="0"/>
              <w:jc w:val="both"/>
              <w:rPr>
                <w:rFonts w:eastAsia="Times New Roman" w:cs="Times New Roman"/>
                <w:szCs w:val="24"/>
                <w:lang w:val="ro-RO" w:eastAsia="ro-RO"/>
              </w:rPr>
            </w:pPr>
          </w:p>
        </w:tc>
      </w:tr>
      <w:tr w:rsidR="00D90E91" w:rsidRPr="00F300D8" w:rsidTr="00057D2B">
        <w:tc>
          <w:tcPr>
            <w:tcW w:w="9350" w:type="dxa"/>
          </w:tcPr>
          <w:p w:rsidR="005B1CB7" w:rsidRPr="00F300D8" w:rsidRDefault="00D90E91" w:rsidP="005B1CB7">
            <w:pPr>
              <w:shd w:val="clear" w:color="auto" w:fill="FFFFFF"/>
              <w:spacing w:before="100" w:beforeAutospacing="1" w:after="100" w:afterAutospacing="1"/>
              <w:jc w:val="both"/>
              <w:rPr>
                <w:rFonts w:eastAsia="Times New Roman" w:cs="Times New Roman"/>
                <w:i/>
                <w:color w:val="FF0000"/>
                <w:szCs w:val="24"/>
                <w:lang w:val="ro-RO" w:eastAsia="ro-RO"/>
              </w:rPr>
            </w:pPr>
            <w:r w:rsidRPr="00F300D8">
              <w:rPr>
                <w:rFonts w:eastAsia="Times New Roman" w:cs="Times New Roman"/>
                <w:i/>
                <w:color w:val="FF0000"/>
                <w:szCs w:val="24"/>
                <w:lang w:val="ro-RO" w:eastAsia="ro-RO"/>
              </w:rPr>
              <w:t>Se va demonstra că proi</w:t>
            </w:r>
            <w:r w:rsidR="00E77C31" w:rsidRPr="00F300D8">
              <w:rPr>
                <w:rFonts w:eastAsia="Times New Roman" w:cs="Times New Roman"/>
                <w:i/>
                <w:color w:val="FF0000"/>
                <w:szCs w:val="24"/>
                <w:lang w:val="ro-RO" w:eastAsia="ro-RO"/>
              </w:rPr>
              <w:t>e</w:t>
            </w:r>
            <w:r w:rsidRPr="00F300D8">
              <w:rPr>
                <w:rFonts w:eastAsia="Times New Roman" w:cs="Times New Roman"/>
                <w:i/>
                <w:color w:val="FF0000"/>
                <w:szCs w:val="24"/>
                <w:lang w:val="ro-RO" w:eastAsia="ro-RO"/>
              </w:rPr>
              <w:t xml:space="preserve">ctul propus spre </w:t>
            </w:r>
            <w:r w:rsidR="00D52190" w:rsidRPr="00F300D8">
              <w:rPr>
                <w:rFonts w:eastAsia="Times New Roman" w:cs="Times New Roman"/>
                <w:i/>
                <w:color w:val="FF0000"/>
                <w:szCs w:val="24"/>
                <w:lang w:val="ro-RO" w:eastAsia="ro-RO"/>
              </w:rPr>
              <w:t>finanțare</w:t>
            </w:r>
            <w:r w:rsidRPr="00F300D8">
              <w:rPr>
                <w:rFonts w:eastAsia="Times New Roman" w:cs="Times New Roman"/>
                <w:i/>
                <w:color w:val="FF0000"/>
                <w:szCs w:val="24"/>
                <w:lang w:val="ro-RO" w:eastAsia="ro-RO"/>
              </w:rPr>
              <w:t xml:space="preserve"> nu şi-a început activitățile înainte de </w:t>
            </w:r>
            <w:r w:rsidR="008E2D91" w:rsidRPr="00F300D8">
              <w:rPr>
                <w:rFonts w:eastAsia="Times New Roman" w:cs="Times New Roman"/>
                <w:i/>
                <w:color w:val="FF0000"/>
                <w:szCs w:val="24"/>
                <w:lang w:val="ro-RO" w:eastAsia="ro-RO"/>
              </w:rPr>
              <w:t xml:space="preserve">data </w:t>
            </w:r>
            <w:r w:rsidR="001405C9" w:rsidRPr="001405C9">
              <w:rPr>
                <w:rFonts w:eastAsia="Times New Roman" w:cs="Times New Roman"/>
                <w:i/>
                <w:color w:val="FF0000"/>
                <w:szCs w:val="24"/>
                <w:lang w:val="ro-RO" w:eastAsia="ro-RO"/>
              </w:rPr>
              <w:t xml:space="preserve">comunicării de către </w:t>
            </w:r>
            <w:r w:rsidR="00D52190">
              <w:rPr>
                <w:rFonts w:eastAsia="Times New Roman" w:cs="Times New Roman"/>
                <w:i/>
                <w:color w:val="FF0000"/>
                <w:szCs w:val="24"/>
                <w:lang w:val="ro-RO" w:eastAsia="ro-RO"/>
              </w:rPr>
              <w:t>autoritatea de management</w:t>
            </w:r>
            <w:r w:rsidR="001405C9" w:rsidRPr="001405C9">
              <w:rPr>
                <w:rFonts w:eastAsia="Times New Roman" w:cs="Times New Roman"/>
                <w:i/>
                <w:color w:val="FF0000"/>
                <w:szCs w:val="24"/>
                <w:lang w:val="ro-RO" w:eastAsia="ro-RO"/>
              </w:rPr>
              <w:t xml:space="preserve"> a rezultatului verificării administrative și a eligibilității proiectului</w:t>
            </w:r>
            <w:r w:rsidR="00CE0DB7" w:rsidRPr="00F300D8">
              <w:rPr>
                <w:rFonts w:eastAsia="Times New Roman" w:cs="Times New Roman"/>
                <w:i/>
                <w:color w:val="FF0000"/>
                <w:szCs w:val="24"/>
                <w:lang w:val="ro-RO" w:eastAsia="ro-RO"/>
              </w:rPr>
              <w:t xml:space="preserve">, </w:t>
            </w:r>
            <w:r w:rsidRPr="00F300D8">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considera</w:t>
            </w:r>
            <w:r w:rsidR="005B1CB7" w:rsidRPr="00F300D8">
              <w:rPr>
                <w:rFonts w:eastAsia="Times New Roman" w:cs="Times New Roman"/>
                <w:i/>
                <w:color w:val="FF0000"/>
                <w:szCs w:val="24"/>
                <w:lang w:val="ro-RO" w:eastAsia="ro-RO"/>
              </w:rPr>
              <w:t>te drept începere a lucrărilor.</w:t>
            </w:r>
          </w:p>
          <w:p w:rsidR="00E77C31" w:rsidRPr="00F300D8" w:rsidRDefault="00E77C31" w:rsidP="001633F9">
            <w:pPr>
              <w:shd w:val="clear" w:color="auto" w:fill="FFFFFF"/>
              <w:spacing w:before="100" w:beforeAutospacing="1" w:after="100" w:afterAutospacing="1"/>
              <w:jc w:val="both"/>
              <w:rPr>
                <w:rFonts w:eastAsia="Times New Roman" w:cs="Times New Roman"/>
                <w:i/>
                <w:color w:val="FF0000"/>
                <w:szCs w:val="24"/>
                <w:lang w:val="ro-RO" w:eastAsia="ro-RO"/>
              </w:rPr>
            </w:pPr>
            <w:r w:rsidRPr="00F300D8">
              <w:rPr>
                <w:rFonts w:eastAsia="Times New Roman" w:cs="Times New Roman"/>
                <w:i/>
                <w:color w:val="FF0000"/>
                <w:szCs w:val="24"/>
                <w:lang w:val="ro-RO" w:eastAsia="ro-RO"/>
              </w:rPr>
              <w:t xml:space="preserve">Se va avea în vedere corelarea cu informațiile prevăzute în </w:t>
            </w:r>
            <w:r w:rsidR="00DB6F54" w:rsidRPr="00F300D8">
              <w:rPr>
                <w:rFonts w:eastAsia="Times New Roman" w:cs="Times New Roman"/>
                <w:i/>
                <w:color w:val="FF0000"/>
                <w:szCs w:val="24"/>
                <w:lang w:val="ro-RO" w:eastAsia="ro-RO"/>
              </w:rPr>
              <w:t xml:space="preserve">Secţiunile B.3.1 și H, din Cererea de </w:t>
            </w:r>
            <w:r w:rsidR="00423F5E" w:rsidRPr="00F300D8">
              <w:rPr>
                <w:rFonts w:eastAsia="Times New Roman" w:cs="Times New Roman"/>
                <w:i/>
                <w:color w:val="FF0000"/>
                <w:szCs w:val="24"/>
                <w:lang w:val="ro-RO" w:eastAsia="ro-RO"/>
              </w:rPr>
              <w:t xml:space="preserve">finanţare </w:t>
            </w:r>
            <w:r w:rsidR="00DB6F54" w:rsidRPr="00F300D8">
              <w:rPr>
                <w:rFonts w:eastAsia="Times New Roman" w:cs="Times New Roman"/>
                <w:i/>
                <w:color w:val="FF0000"/>
                <w:szCs w:val="24"/>
                <w:lang w:val="ro-RO" w:eastAsia="ro-RO"/>
              </w:rPr>
              <w:t>şi Declaraţia privind conformitatea cu regulile ajutorului de stat</w:t>
            </w:r>
          </w:p>
        </w:tc>
      </w:tr>
    </w:tbl>
    <w:p w:rsidR="003E3F85" w:rsidRDefault="003E3F85" w:rsidP="00057D2B">
      <w:pPr>
        <w:shd w:val="clear" w:color="auto" w:fill="FFFFFF"/>
        <w:spacing w:before="100" w:beforeAutospacing="1" w:after="100" w:afterAutospacing="1" w:line="240" w:lineRule="auto"/>
        <w:jc w:val="both"/>
        <w:rPr>
          <w:b/>
          <w:noProof/>
          <w:u w:val="single"/>
          <w:lang w:val="ro-RO"/>
        </w:rPr>
      </w:pPr>
    </w:p>
    <w:p w:rsidR="00057D2B" w:rsidRPr="00F300D8" w:rsidRDefault="00057D2B" w:rsidP="00057D2B">
      <w:pPr>
        <w:shd w:val="clear" w:color="auto" w:fill="FFFFFF"/>
        <w:spacing w:before="100" w:beforeAutospacing="1" w:after="100" w:afterAutospacing="1" w:line="240" w:lineRule="auto"/>
        <w:jc w:val="both"/>
        <w:rPr>
          <w:b/>
          <w:noProof/>
          <w:u w:val="single"/>
          <w:lang w:val="ro-RO"/>
        </w:rPr>
      </w:pPr>
      <w:r>
        <w:rPr>
          <w:b/>
          <w:noProof/>
          <w:u w:val="single"/>
          <w:lang w:val="ro-RO"/>
        </w:rPr>
        <w:t xml:space="preserve">Art.4, alin. </w:t>
      </w:r>
      <w:r w:rsidR="00980227">
        <w:rPr>
          <w:b/>
          <w:noProof/>
          <w:u w:val="single"/>
          <w:lang w:val="ro-RO"/>
        </w:rPr>
        <w:t>(</w:t>
      </w:r>
      <w:r>
        <w:rPr>
          <w:b/>
          <w:noProof/>
          <w:u w:val="single"/>
          <w:lang w:val="ro-RO"/>
        </w:rPr>
        <w:t>1</w:t>
      </w:r>
      <w:r w:rsidR="00980227">
        <w:rPr>
          <w:b/>
          <w:noProof/>
          <w:u w:val="single"/>
          <w:lang w:val="ro-RO"/>
        </w:rPr>
        <w:t>)</w:t>
      </w:r>
      <w:r>
        <w:rPr>
          <w:b/>
          <w:noProof/>
          <w:u w:val="single"/>
          <w:lang w:val="ro-RO"/>
        </w:rPr>
        <w:t xml:space="preserve">,  w) și alin </w:t>
      </w:r>
      <w:r w:rsidR="00980227">
        <w:rPr>
          <w:b/>
          <w:noProof/>
          <w:u w:val="single"/>
          <w:lang w:val="ro-RO"/>
        </w:rPr>
        <w:t>(</w:t>
      </w:r>
      <w:r>
        <w:rPr>
          <w:b/>
          <w:noProof/>
          <w:u w:val="single"/>
          <w:lang w:val="ro-RO"/>
        </w:rPr>
        <w:t>2</w:t>
      </w:r>
      <w:r w:rsidR="00980227">
        <w:rPr>
          <w:b/>
          <w:noProof/>
          <w:u w:val="single"/>
          <w:lang w:val="ro-RO"/>
        </w:rPr>
        <w:t>)</w:t>
      </w:r>
      <w:r w:rsidRPr="00F300D8">
        <w:rPr>
          <w:b/>
          <w:noProof/>
          <w:u w:val="single"/>
          <w:lang w:val="ro-RO"/>
        </w:rPr>
        <w:t xml:space="preserve">. </w:t>
      </w:r>
      <w:r>
        <w:rPr>
          <w:b/>
          <w:noProof/>
          <w:u w:val="single"/>
          <w:lang w:val="ro-RO"/>
        </w:rPr>
        <w:t>Pragul de notificare</w:t>
      </w:r>
    </w:p>
    <w:tbl>
      <w:tblPr>
        <w:tblStyle w:val="TableGrid"/>
        <w:tblW w:w="0" w:type="auto"/>
        <w:tblLook w:val="04A0" w:firstRow="1" w:lastRow="0" w:firstColumn="1" w:lastColumn="0" w:noHBand="0" w:noVBand="1"/>
      </w:tblPr>
      <w:tblGrid>
        <w:gridCol w:w="9350"/>
      </w:tblGrid>
      <w:tr w:rsidR="00057D2B" w:rsidRPr="00F300D8" w:rsidTr="00DA0986">
        <w:tc>
          <w:tcPr>
            <w:tcW w:w="9576" w:type="dxa"/>
          </w:tcPr>
          <w:p w:rsidR="00057D2B" w:rsidRDefault="00057D2B" w:rsidP="00DA0986">
            <w:pPr>
              <w:autoSpaceDE w:val="0"/>
              <w:autoSpaceDN w:val="0"/>
              <w:adjustRightInd w:val="0"/>
              <w:jc w:val="both"/>
              <w:rPr>
                <w:rFonts w:eastAsia="Times New Roman" w:cs="Times New Roman"/>
                <w:i/>
                <w:szCs w:val="24"/>
                <w:lang w:val="ro-RO" w:eastAsia="ro-RO"/>
              </w:rPr>
            </w:pPr>
            <w:r w:rsidRPr="00057D2B">
              <w:rPr>
                <w:rFonts w:eastAsia="Times New Roman" w:cs="Times New Roman"/>
                <w:i/>
                <w:szCs w:val="24"/>
                <w:lang w:val="ro-RO" w:eastAsia="ro-RO"/>
              </w:rPr>
              <w:t xml:space="preserve">În conformitate cu art. 4, alin. </w:t>
            </w:r>
            <w:r w:rsidR="00980227">
              <w:rPr>
                <w:rFonts w:eastAsia="Times New Roman" w:cs="Times New Roman"/>
                <w:i/>
                <w:szCs w:val="24"/>
                <w:lang w:val="ro-RO" w:eastAsia="ro-RO"/>
              </w:rPr>
              <w:t>(</w:t>
            </w:r>
            <w:r w:rsidRPr="00057D2B">
              <w:rPr>
                <w:rFonts w:eastAsia="Times New Roman" w:cs="Times New Roman"/>
                <w:i/>
                <w:szCs w:val="24"/>
                <w:lang w:val="ro-RO" w:eastAsia="ro-RO"/>
              </w:rPr>
              <w:t>1</w:t>
            </w:r>
            <w:r w:rsidR="00980227">
              <w:rPr>
                <w:rFonts w:eastAsia="Times New Roman" w:cs="Times New Roman"/>
                <w:i/>
                <w:szCs w:val="24"/>
                <w:lang w:val="ro-RO" w:eastAsia="ro-RO"/>
              </w:rPr>
              <w:t>)</w:t>
            </w:r>
            <w:r w:rsidRPr="00057D2B">
              <w:rPr>
                <w:rFonts w:eastAsia="Times New Roman" w:cs="Times New Roman"/>
                <w:i/>
                <w:szCs w:val="24"/>
                <w:lang w:val="ro-RO" w:eastAsia="ro-RO"/>
              </w:rPr>
              <w:t xml:space="preserve">, lit. w din Regulamentul de exceptare a notificării ajutorului de stat valoarea ajutorului nu va </w:t>
            </w:r>
            <w:r w:rsidR="000A6FF3" w:rsidRPr="00057D2B">
              <w:rPr>
                <w:rFonts w:eastAsia="Times New Roman" w:cs="Times New Roman"/>
                <w:i/>
                <w:szCs w:val="24"/>
                <w:lang w:val="ro-RO" w:eastAsia="ro-RO"/>
              </w:rPr>
              <w:t>depăși</w:t>
            </w:r>
            <w:r w:rsidRPr="00057D2B">
              <w:rPr>
                <w:rFonts w:eastAsia="Times New Roman" w:cs="Times New Roman"/>
                <w:i/>
                <w:szCs w:val="24"/>
                <w:lang w:val="ro-RO" w:eastAsia="ro-RO"/>
              </w:rPr>
              <w:t xml:space="preserve"> pragul de 20 milioane euro pe</w:t>
            </w:r>
            <w:r w:rsidR="000A6FF3">
              <w:rPr>
                <w:rFonts w:eastAsia="Times New Roman" w:cs="Times New Roman"/>
                <w:i/>
                <w:szCs w:val="24"/>
                <w:lang w:val="ro-RO" w:eastAsia="ro-RO"/>
              </w:rPr>
              <w:t xml:space="preserve"> întreprindere, pe </w:t>
            </w:r>
            <w:r w:rsidRPr="00057D2B">
              <w:rPr>
                <w:rFonts w:eastAsia="Times New Roman" w:cs="Times New Roman"/>
                <w:i/>
                <w:szCs w:val="24"/>
                <w:lang w:val="ro-RO" w:eastAsia="ro-RO"/>
              </w:rPr>
              <w:t xml:space="preserve">proiect de investiții. </w:t>
            </w:r>
          </w:p>
          <w:p w:rsidR="00057D2B" w:rsidRPr="00F300D8" w:rsidRDefault="003E3F85" w:rsidP="00DA0986">
            <w:pPr>
              <w:autoSpaceDE w:val="0"/>
              <w:autoSpaceDN w:val="0"/>
              <w:adjustRightInd w:val="0"/>
              <w:jc w:val="both"/>
              <w:rPr>
                <w:rFonts w:eastAsia="Times New Roman" w:cs="Times New Roman"/>
                <w:szCs w:val="24"/>
                <w:lang w:val="ro-RO" w:eastAsia="ro-RO"/>
              </w:rPr>
            </w:pPr>
            <w:r>
              <w:rPr>
                <w:rFonts w:eastAsia="Times New Roman" w:cs="Times New Roman"/>
                <w:i/>
                <w:szCs w:val="24"/>
                <w:lang w:val="ro-RO" w:eastAsia="ro-RO"/>
              </w:rPr>
              <w:t xml:space="preserve">Totodată, conform art. 4, alin </w:t>
            </w:r>
            <w:r w:rsidR="00980227">
              <w:rPr>
                <w:rFonts w:eastAsia="Times New Roman" w:cs="Times New Roman"/>
                <w:i/>
                <w:szCs w:val="24"/>
                <w:lang w:val="ro-RO" w:eastAsia="ro-RO"/>
              </w:rPr>
              <w:t>(</w:t>
            </w:r>
            <w:r>
              <w:rPr>
                <w:rFonts w:eastAsia="Times New Roman" w:cs="Times New Roman"/>
                <w:i/>
                <w:szCs w:val="24"/>
                <w:lang w:val="ro-RO" w:eastAsia="ro-RO"/>
              </w:rPr>
              <w:t>2</w:t>
            </w:r>
            <w:r w:rsidR="00980227">
              <w:rPr>
                <w:rFonts w:eastAsia="Times New Roman" w:cs="Times New Roman"/>
                <w:i/>
                <w:szCs w:val="24"/>
                <w:lang w:val="ro-RO" w:eastAsia="ro-RO"/>
              </w:rPr>
              <w:t>)</w:t>
            </w:r>
            <w:r>
              <w:rPr>
                <w:rFonts w:eastAsia="Times New Roman" w:cs="Times New Roman"/>
                <w:i/>
                <w:szCs w:val="24"/>
                <w:lang w:val="ro-RO" w:eastAsia="ro-RO"/>
              </w:rPr>
              <w:t xml:space="preserve"> din </w:t>
            </w:r>
            <w:r w:rsidRPr="003E3F85">
              <w:rPr>
                <w:rFonts w:eastAsia="Times New Roman" w:cs="Times New Roman"/>
                <w:i/>
                <w:szCs w:val="24"/>
                <w:lang w:val="ro-RO" w:eastAsia="ro-RO"/>
              </w:rPr>
              <w:t xml:space="preserve">Regulamentul de exceptare a notificării ajutorului de stat </w:t>
            </w:r>
            <w:r>
              <w:rPr>
                <w:rFonts w:eastAsia="Times New Roman" w:cs="Times New Roman"/>
                <w:i/>
                <w:szCs w:val="24"/>
                <w:lang w:val="ro-RO" w:eastAsia="ro-RO"/>
              </w:rPr>
              <w:t>p</w:t>
            </w:r>
            <w:r w:rsidR="00057D2B" w:rsidRPr="00057D2B">
              <w:rPr>
                <w:rFonts w:eastAsia="Times New Roman" w:cs="Times New Roman"/>
                <w:i/>
                <w:szCs w:val="24"/>
                <w:lang w:val="ro-RO" w:eastAsia="ro-RO"/>
              </w:rPr>
              <w:t>ragul stabilit de 20</w:t>
            </w:r>
            <w:r w:rsidR="000A6FF3">
              <w:rPr>
                <w:rFonts w:eastAsia="Times New Roman" w:cs="Times New Roman"/>
                <w:i/>
                <w:szCs w:val="24"/>
                <w:lang w:val="ro-RO" w:eastAsia="ro-RO"/>
              </w:rPr>
              <w:t xml:space="preserve"> milioane euro pe întreprindere, pe </w:t>
            </w:r>
            <w:r w:rsidR="00057D2B" w:rsidRPr="00057D2B">
              <w:rPr>
                <w:rFonts w:eastAsia="Times New Roman" w:cs="Times New Roman"/>
                <w:i/>
                <w:szCs w:val="24"/>
                <w:lang w:val="ro-RO" w:eastAsia="ro-RO"/>
              </w:rPr>
              <w:t>proiect de investiții nu trebuie să fie eludat prin divizarea artificială a proiectelor, cu caracteristici, obiective sau beneficiari similari, care beneficiază de ajutoare de stat.</w:t>
            </w:r>
          </w:p>
        </w:tc>
      </w:tr>
      <w:tr w:rsidR="00057D2B" w:rsidRPr="00F300D8" w:rsidTr="00DA0986">
        <w:tc>
          <w:tcPr>
            <w:tcW w:w="9576" w:type="dxa"/>
          </w:tcPr>
          <w:p w:rsidR="00057D2B" w:rsidRPr="00F300D8" w:rsidRDefault="00057D2B" w:rsidP="003E3F85">
            <w:pPr>
              <w:shd w:val="clear" w:color="auto" w:fill="FFFFFF"/>
              <w:spacing w:before="100" w:beforeAutospacing="1" w:after="100" w:afterAutospacing="1"/>
              <w:jc w:val="both"/>
              <w:rPr>
                <w:rFonts w:eastAsia="Times New Roman" w:cs="Times New Roman"/>
                <w:i/>
                <w:color w:val="FF0000"/>
                <w:szCs w:val="24"/>
                <w:lang w:val="ro-RO" w:eastAsia="ro-RO"/>
              </w:rPr>
            </w:pPr>
            <w:r w:rsidRPr="00F300D8">
              <w:rPr>
                <w:rFonts w:eastAsia="Times New Roman" w:cs="Times New Roman"/>
                <w:i/>
                <w:color w:val="FF0000"/>
                <w:szCs w:val="24"/>
                <w:lang w:val="ro-RO" w:eastAsia="ro-RO"/>
              </w:rPr>
              <w:t xml:space="preserve">Se va demonstra că proiectul </w:t>
            </w:r>
            <w:r w:rsidR="003E3F85">
              <w:rPr>
                <w:rFonts w:eastAsia="Times New Roman" w:cs="Times New Roman"/>
                <w:i/>
                <w:color w:val="FF0000"/>
                <w:szCs w:val="24"/>
                <w:lang w:val="ro-RO" w:eastAsia="ro-RO"/>
              </w:rPr>
              <w:t xml:space="preserve">propus spre finanțare </w:t>
            </w:r>
            <w:r>
              <w:rPr>
                <w:rFonts w:eastAsia="Times New Roman" w:cs="Times New Roman"/>
                <w:i/>
                <w:color w:val="FF0000"/>
                <w:szCs w:val="24"/>
                <w:lang w:val="ro-RO" w:eastAsia="ro-RO"/>
              </w:rPr>
              <w:t xml:space="preserve">nu depășește pragul de 20.000.000 euro </w:t>
            </w:r>
            <w:r w:rsidR="000A6FF3">
              <w:rPr>
                <w:rFonts w:eastAsia="Times New Roman" w:cs="Times New Roman"/>
                <w:i/>
                <w:color w:val="FF0000"/>
                <w:szCs w:val="24"/>
                <w:lang w:val="ro-RO" w:eastAsia="ro-RO"/>
              </w:rPr>
              <w:t xml:space="preserve">per întreprindere, pe </w:t>
            </w:r>
            <w:r w:rsidRPr="00057D2B">
              <w:rPr>
                <w:rFonts w:eastAsia="Times New Roman" w:cs="Times New Roman"/>
                <w:i/>
                <w:color w:val="FF0000"/>
                <w:szCs w:val="24"/>
                <w:lang w:val="ro-RO" w:eastAsia="ro-RO"/>
              </w:rPr>
              <w:t>proiect de investiț</w:t>
            </w:r>
            <w:r>
              <w:rPr>
                <w:rFonts w:eastAsia="Times New Roman" w:cs="Times New Roman"/>
                <w:i/>
                <w:color w:val="FF0000"/>
                <w:szCs w:val="24"/>
                <w:lang w:val="ro-RO" w:eastAsia="ro-RO"/>
              </w:rPr>
              <w:t>ii</w:t>
            </w:r>
            <w:r w:rsidR="003E3F85">
              <w:rPr>
                <w:rFonts w:eastAsia="Times New Roman" w:cs="Times New Roman"/>
                <w:i/>
                <w:color w:val="FF0000"/>
                <w:szCs w:val="24"/>
                <w:lang w:val="ro-RO" w:eastAsia="ro-RO"/>
              </w:rPr>
              <w:t>,</w:t>
            </w:r>
            <w:r>
              <w:rPr>
                <w:rFonts w:eastAsia="Times New Roman" w:cs="Times New Roman"/>
                <w:i/>
                <w:color w:val="FF0000"/>
                <w:szCs w:val="24"/>
                <w:lang w:val="ro-RO" w:eastAsia="ro-RO"/>
              </w:rPr>
              <w:t xml:space="preserve"> iar acest prag </w:t>
            </w:r>
            <w:r w:rsidR="003E3F85">
              <w:rPr>
                <w:rFonts w:eastAsia="Times New Roman" w:cs="Times New Roman"/>
                <w:i/>
                <w:color w:val="FF0000"/>
                <w:szCs w:val="24"/>
                <w:lang w:val="ro-RO" w:eastAsia="ro-RO"/>
              </w:rPr>
              <w:t xml:space="preserve">a fost respectat, prin </w:t>
            </w:r>
            <w:r w:rsidR="00AA7D67">
              <w:rPr>
                <w:rFonts w:eastAsia="Times New Roman" w:cs="Times New Roman"/>
                <w:i/>
                <w:color w:val="FF0000"/>
                <w:szCs w:val="24"/>
                <w:lang w:val="ro-RO" w:eastAsia="ro-RO"/>
              </w:rPr>
              <w:t>nedivizarea artificială</w:t>
            </w:r>
            <w:r w:rsidR="003E3F85">
              <w:rPr>
                <w:rFonts w:eastAsia="Times New Roman" w:cs="Times New Roman"/>
                <w:i/>
                <w:color w:val="FF0000"/>
                <w:szCs w:val="24"/>
                <w:lang w:val="ro-RO" w:eastAsia="ro-RO"/>
              </w:rPr>
              <w:t xml:space="preserve"> </w:t>
            </w:r>
            <w:r w:rsidR="003E3F85">
              <w:rPr>
                <w:rFonts w:eastAsia="Times New Roman" w:cs="Times New Roman"/>
                <w:i/>
                <w:color w:val="FF0000"/>
                <w:szCs w:val="24"/>
                <w:lang w:val="ro-RO" w:eastAsia="ro-RO"/>
              </w:rPr>
              <w:lastRenderedPageBreak/>
              <w:t xml:space="preserve">a unui proiect de investiții în mai multe proiecte pentru a evita obligația de notificare și/sau să evite plafonarea ajutorului la pragul de 20 milioane euro, în conformitate cu prevederile </w:t>
            </w:r>
            <w:r w:rsidR="003E3F85" w:rsidRPr="003E3F85">
              <w:rPr>
                <w:rFonts w:eastAsia="Times New Roman" w:cs="Times New Roman"/>
                <w:i/>
                <w:color w:val="FF0000"/>
                <w:szCs w:val="24"/>
                <w:lang w:val="ro-RO" w:eastAsia="ro-RO"/>
              </w:rPr>
              <w:t>Regulamentul</w:t>
            </w:r>
            <w:r w:rsidR="003E3F85">
              <w:rPr>
                <w:rFonts w:eastAsia="Times New Roman" w:cs="Times New Roman"/>
                <w:i/>
                <w:color w:val="FF0000"/>
                <w:szCs w:val="24"/>
                <w:lang w:val="ro-RO" w:eastAsia="ro-RO"/>
              </w:rPr>
              <w:t>ui</w:t>
            </w:r>
            <w:r w:rsidR="003E3F85" w:rsidRPr="003E3F85">
              <w:rPr>
                <w:rFonts w:eastAsia="Times New Roman" w:cs="Times New Roman"/>
                <w:i/>
                <w:color w:val="FF0000"/>
                <w:szCs w:val="24"/>
                <w:lang w:val="ro-RO" w:eastAsia="ro-RO"/>
              </w:rPr>
              <w:t xml:space="preserve"> de exceptare a notificării ajutorului de stat</w:t>
            </w:r>
            <w:r w:rsidR="003E3F85">
              <w:rPr>
                <w:rFonts w:eastAsia="Times New Roman" w:cs="Times New Roman"/>
                <w:i/>
                <w:color w:val="FF0000"/>
                <w:szCs w:val="24"/>
                <w:lang w:val="ro-RO" w:eastAsia="ro-RO"/>
              </w:rPr>
              <w:t>.</w:t>
            </w:r>
            <w:r w:rsidR="00FA1700">
              <w:rPr>
                <w:rFonts w:eastAsia="Times New Roman" w:cs="Times New Roman"/>
                <w:i/>
                <w:color w:val="FF0000"/>
                <w:szCs w:val="24"/>
                <w:lang w:val="ro-RO" w:eastAsia="ro-RO"/>
              </w:rPr>
              <w:t xml:space="preserve"> </w:t>
            </w:r>
            <w:r w:rsidRPr="00F300D8">
              <w:rPr>
                <w:rFonts w:eastAsia="Times New Roman" w:cs="Times New Roman"/>
                <w:i/>
                <w:color w:val="FF0000"/>
                <w:szCs w:val="24"/>
                <w:lang w:val="ro-RO" w:eastAsia="ro-RO"/>
              </w:rPr>
              <w:t xml:space="preserve">Se va avea în vedere corelarea cu informațiile prevăzute în </w:t>
            </w:r>
            <w:r w:rsidR="00E84BE9" w:rsidRPr="00F300D8">
              <w:rPr>
                <w:rFonts w:eastAsia="Times New Roman" w:cs="Times New Roman"/>
                <w:i/>
                <w:color w:val="FF0000"/>
                <w:szCs w:val="24"/>
                <w:lang w:val="ro-RO" w:eastAsia="ro-RO"/>
              </w:rPr>
              <w:t>Secțiunile</w:t>
            </w:r>
            <w:r w:rsidRPr="00F300D8">
              <w:rPr>
                <w:rFonts w:eastAsia="Times New Roman" w:cs="Times New Roman"/>
                <w:i/>
                <w:color w:val="FF0000"/>
                <w:szCs w:val="24"/>
                <w:lang w:val="ro-RO" w:eastAsia="ro-RO"/>
              </w:rPr>
              <w:t xml:space="preserve"> B.3.1 și H, din Cererea de </w:t>
            </w:r>
            <w:r w:rsidR="00380FDE" w:rsidRPr="00F300D8">
              <w:rPr>
                <w:rFonts w:eastAsia="Times New Roman" w:cs="Times New Roman"/>
                <w:i/>
                <w:color w:val="FF0000"/>
                <w:szCs w:val="24"/>
                <w:lang w:val="ro-RO" w:eastAsia="ro-RO"/>
              </w:rPr>
              <w:t>finanțare</w:t>
            </w:r>
            <w:r w:rsidRPr="00F300D8">
              <w:rPr>
                <w:rFonts w:eastAsia="Times New Roman" w:cs="Times New Roman"/>
                <w:i/>
                <w:color w:val="FF0000"/>
                <w:szCs w:val="24"/>
                <w:lang w:val="ro-RO" w:eastAsia="ro-RO"/>
              </w:rPr>
              <w:t xml:space="preserve"> şi </w:t>
            </w:r>
            <w:r w:rsidR="00380FDE" w:rsidRPr="00F300D8">
              <w:rPr>
                <w:rFonts w:eastAsia="Times New Roman" w:cs="Times New Roman"/>
                <w:i/>
                <w:color w:val="FF0000"/>
                <w:szCs w:val="24"/>
                <w:lang w:val="ro-RO" w:eastAsia="ro-RO"/>
              </w:rPr>
              <w:t>Declarația</w:t>
            </w:r>
            <w:r w:rsidRPr="00F300D8">
              <w:rPr>
                <w:rFonts w:eastAsia="Times New Roman" w:cs="Times New Roman"/>
                <w:i/>
                <w:color w:val="FF0000"/>
                <w:szCs w:val="24"/>
                <w:lang w:val="ro-RO" w:eastAsia="ro-RO"/>
              </w:rPr>
              <w:t xml:space="preserve"> privind conformitatea cu regulile ajutorului de stat</w:t>
            </w:r>
          </w:p>
        </w:tc>
      </w:tr>
    </w:tbl>
    <w:p w:rsidR="00057D2B" w:rsidRDefault="00057D2B" w:rsidP="00AA7D67">
      <w:pPr>
        <w:shd w:val="clear" w:color="auto" w:fill="FFFFFF"/>
        <w:spacing w:before="100" w:beforeAutospacing="1" w:after="100" w:afterAutospacing="1" w:line="240" w:lineRule="auto"/>
        <w:jc w:val="both"/>
        <w:rPr>
          <w:b/>
          <w:noProof/>
          <w:u w:val="single"/>
          <w:lang w:val="ro-RO"/>
        </w:rPr>
      </w:pPr>
    </w:p>
    <w:p w:rsidR="00B23684" w:rsidRPr="00F300D8" w:rsidRDefault="00BA0356" w:rsidP="00B23684">
      <w:pPr>
        <w:shd w:val="clear" w:color="auto" w:fill="FFFFFF"/>
        <w:spacing w:before="100" w:beforeAutospacing="1" w:after="100" w:afterAutospacing="1" w:line="240" w:lineRule="auto"/>
        <w:jc w:val="both"/>
        <w:rPr>
          <w:b/>
          <w:noProof/>
          <w:u w:val="single"/>
          <w:lang w:val="ro-RO"/>
        </w:rPr>
      </w:pPr>
      <w:r w:rsidRPr="00F300D8">
        <w:rPr>
          <w:b/>
          <w:noProof/>
          <w:u w:val="single"/>
          <w:lang w:val="ro-RO"/>
        </w:rPr>
        <w:t>Art. 6. Efectul stimulativ, alin.</w:t>
      </w:r>
      <w:r w:rsidR="00816A50">
        <w:rPr>
          <w:b/>
          <w:noProof/>
          <w:u w:val="single"/>
          <w:lang w:val="ro-RO"/>
        </w:rPr>
        <w:t xml:space="preserve"> (1)</w:t>
      </w:r>
      <w:r w:rsidRPr="00F300D8">
        <w:rPr>
          <w:b/>
          <w:noProof/>
          <w:u w:val="single"/>
          <w:lang w:val="ro-RO"/>
        </w:rPr>
        <w:t xml:space="preserve"> şi </w:t>
      </w:r>
      <w:r w:rsidR="00816A50">
        <w:rPr>
          <w:b/>
          <w:noProof/>
          <w:u w:val="single"/>
          <w:lang w:val="ro-RO"/>
        </w:rPr>
        <w:t>2</w:t>
      </w:r>
    </w:p>
    <w:tbl>
      <w:tblPr>
        <w:tblStyle w:val="TableGrid"/>
        <w:tblW w:w="0" w:type="auto"/>
        <w:tblLook w:val="04A0" w:firstRow="1" w:lastRow="0" w:firstColumn="1" w:lastColumn="0" w:noHBand="0" w:noVBand="1"/>
      </w:tblPr>
      <w:tblGrid>
        <w:gridCol w:w="9350"/>
      </w:tblGrid>
      <w:tr w:rsidR="00B23684" w:rsidRPr="00F300D8" w:rsidTr="001C3062">
        <w:tc>
          <w:tcPr>
            <w:tcW w:w="9576" w:type="dxa"/>
          </w:tcPr>
          <w:p w:rsidR="00B23684" w:rsidRPr="00F300D8" w:rsidRDefault="00B23684" w:rsidP="00B23684">
            <w:pPr>
              <w:widowControl w:val="0"/>
              <w:spacing w:after="120"/>
              <w:jc w:val="both"/>
              <w:rPr>
                <w:rFonts w:eastAsia="Calibri" w:cs="Times New Roman"/>
                <w:i/>
                <w:szCs w:val="24"/>
                <w:lang w:val="ro-RO"/>
              </w:rPr>
            </w:pPr>
            <w:r w:rsidRPr="00F300D8">
              <w:rPr>
                <w:rFonts w:eastAsia="Calibri" w:cs="Times New Roman"/>
                <w:i/>
                <w:szCs w:val="24"/>
                <w:lang w:val="ro-RO"/>
              </w:rPr>
              <w:t>Se consider</w:t>
            </w:r>
            <w:r w:rsidRPr="00F300D8">
              <w:rPr>
                <w:rFonts w:eastAsia="Calibri" w:cs="Times New Roman" w:hint="eastAsia"/>
                <w:i/>
                <w:szCs w:val="24"/>
                <w:lang w:val="ro-RO"/>
              </w:rPr>
              <w:t>ă</w:t>
            </w:r>
            <w:r w:rsidRPr="00F300D8">
              <w:rPr>
                <w:rFonts w:eastAsia="Calibri" w:cs="Times New Roman"/>
                <w:i/>
                <w:szCs w:val="24"/>
                <w:lang w:val="ro-RO"/>
              </w:rPr>
              <w:t xml:space="preserve"> c</w:t>
            </w:r>
            <w:r w:rsidRPr="00F300D8">
              <w:rPr>
                <w:rFonts w:eastAsia="Calibri" w:cs="Times New Roman" w:hint="eastAsia"/>
                <w:i/>
                <w:szCs w:val="24"/>
                <w:lang w:val="ro-RO"/>
              </w:rPr>
              <w:t>ă</w:t>
            </w:r>
            <w:r w:rsidRPr="00F300D8">
              <w:rPr>
                <w:rFonts w:eastAsia="Calibri" w:cs="Times New Roman"/>
                <w:i/>
                <w:szCs w:val="24"/>
                <w:lang w:val="ro-RO"/>
              </w:rPr>
              <w:t xml:space="preserve"> ajutoarele au un efect stimulativ dac</w:t>
            </w:r>
            <w:r w:rsidRPr="00F300D8">
              <w:rPr>
                <w:rFonts w:eastAsia="Calibri" w:cs="Times New Roman" w:hint="eastAsia"/>
                <w:i/>
                <w:szCs w:val="24"/>
                <w:lang w:val="ro-RO"/>
              </w:rPr>
              <w:t>ă</w:t>
            </w:r>
            <w:r w:rsidRPr="00F300D8">
              <w:rPr>
                <w:rFonts w:eastAsia="Calibri" w:cs="Times New Roman"/>
                <w:i/>
                <w:szCs w:val="24"/>
                <w:lang w:val="ro-RO"/>
              </w:rPr>
              <w:t xml:space="preserve"> beneficiarul a prezentat statului membru </w:t>
            </w:r>
            <w:r w:rsidRPr="00F300D8">
              <w:rPr>
                <w:rFonts w:eastAsia="Calibri" w:cs="Times New Roman" w:hint="eastAsia"/>
                <w:i/>
                <w:szCs w:val="24"/>
                <w:lang w:val="ro-RO"/>
              </w:rPr>
              <w:t>î</w:t>
            </w:r>
            <w:r w:rsidRPr="00F300D8">
              <w:rPr>
                <w:rFonts w:eastAsia="Calibri" w:cs="Times New Roman"/>
                <w:i/>
                <w:szCs w:val="24"/>
                <w:lang w:val="ro-RO"/>
              </w:rPr>
              <w:t>n cauz</w:t>
            </w:r>
            <w:r w:rsidRPr="00F300D8">
              <w:rPr>
                <w:rFonts w:eastAsia="Calibri" w:cs="Times New Roman" w:hint="eastAsia"/>
                <w:i/>
                <w:szCs w:val="24"/>
                <w:lang w:val="ro-RO"/>
              </w:rPr>
              <w:t>ă</w:t>
            </w:r>
            <w:r w:rsidRPr="00F300D8">
              <w:rPr>
                <w:rFonts w:eastAsia="Calibri" w:cs="Times New Roman"/>
                <w:i/>
                <w:szCs w:val="24"/>
                <w:lang w:val="ro-RO"/>
              </w:rPr>
              <w:t xml:space="preserve"> o cerere de ajutor scris</w:t>
            </w:r>
            <w:r w:rsidRPr="00F300D8">
              <w:rPr>
                <w:rFonts w:eastAsia="Calibri" w:cs="Times New Roman" w:hint="eastAsia"/>
                <w:i/>
                <w:szCs w:val="24"/>
                <w:lang w:val="ro-RO"/>
              </w:rPr>
              <w:t>ă</w:t>
            </w:r>
            <w:r w:rsidRPr="00F300D8">
              <w:rPr>
                <w:rFonts w:eastAsia="Calibri" w:cs="Times New Roman"/>
                <w:i/>
                <w:szCs w:val="24"/>
                <w:lang w:val="ro-RO"/>
              </w:rPr>
              <w:t xml:space="preserve"> </w:t>
            </w:r>
            <w:r w:rsidRPr="00F300D8">
              <w:rPr>
                <w:rFonts w:eastAsia="Calibri" w:cs="Times New Roman" w:hint="eastAsia"/>
                <w:i/>
                <w:szCs w:val="24"/>
                <w:lang w:val="ro-RO"/>
              </w:rPr>
              <w:t>î</w:t>
            </w:r>
            <w:r w:rsidRPr="00F300D8">
              <w:rPr>
                <w:rFonts w:eastAsia="Calibri" w:cs="Times New Roman"/>
                <w:i/>
                <w:szCs w:val="24"/>
                <w:lang w:val="ro-RO"/>
              </w:rPr>
              <w:t xml:space="preserve">nainte de </w:t>
            </w:r>
            <w:r w:rsidRPr="00F300D8">
              <w:rPr>
                <w:rFonts w:eastAsia="Calibri" w:cs="Times New Roman" w:hint="eastAsia"/>
                <w:i/>
                <w:szCs w:val="24"/>
                <w:lang w:val="ro-RO"/>
              </w:rPr>
              <w:t>î</w:t>
            </w:r>
            <w:r w:rsidRPr="00F300D8">
              <w:rPr>
                <w:rFonts w:eastAsia="Calibri" w:cs="Times New Roman"/>
                <w:i/>
                <w:szCs w:val="24"/>
                <w:lang w:val="ro-RO"/>
              </w:rPr>
              <w:t>nceperea lucrului la proiectul sau la activitatea respectiv</w:t>
            </w:r>
            <w:r w:rsidRPr="00F300D8">
              <w:rPr>
                <w:rFonts w:eastAsia="Calibri" w:cs="Times New Roman" w:hint="eastAsia"/>
                <w:i/>
                <w:szCs w:val="24"/>
                <w:lang w:val="ro-RO"/>
              </w:rPr>
              <w:t>ă</w:t>
            </w:r>
            <w:r w:rsidRPr="00F300D8">
              <w:rPr>
                <w:rFonts w:eastAsia="Calibri" w:cs="Times New Roman"/>
                <w:i/>
                <w:szCs w:val="24"/>
                <w:lang w:val="ro-RO"/>
              </w:rPr>
              <w:t>. Cererea de ajutor conține cel puțin urm</w:t>
            </w:r>
            <w:r w:rsidRPr="00F300D8">
              <w:rPr>
                <w:rFonts w:eastAsia="Calibri" w:cs="Times New Roman" w:hint="eastAsia"/>
                <w:i/>
                <w:szCs w:val="24"/>
                <w:lang w:val="ro-RO"/>
              </w:rPr>
              <w:t>ă</w:t>
            </w:r>
            <w:r w:rsidRPr="00F300D8">
              <w:rPr>
                <w:rFonts w:eastAsia="Calibri" w:cs="Times New Roman"/>
                <w:i/>
                <w:szCs w:val="24"/>
                <w:lang w:val="ro-RO"/>
              </w:rPr>
              <w:t>toarele informații:</w:t>
            </w:r>
          </w:p>
          <w:p w:rsidR="00B23684" w:rsidRPr="00F300D8" w:rsidRDefault="00B23684" w:rsidP="00B23684">
            <w:pPr>
              <w:widowControl w:val="0"/>
              <w:ind w:left="720"/>
              <w:jc w:val="both"/>
              <w:rPr>
                <w:rFonts w:eastAsia="Calibri" w:cs="Times New Roman"/>
                <w:i/>
                <w:szCs w:val="24"/>
                <w:lang w:val="ro-RO"/>
              </w:rPr>
            </w:pPr>
            <w:r w:rsidRPr="00F300D8">
              <w:rPr>
                <w:rFonts w:eastAsia="Calibri" w:cs="Times New Roman"/>
                <w:i/>
                <w:szCs w:val="24"/>
                <w:lang w:val="ro-RO"/>
              </w:rPr>
              <w:t xml:space="preserve">(a) denumirea </w:t>
            </w:r>
            <w:r w:rsidRPr="00F300D8">
              <w:rPr>
                <w:rFonts w:eastAsia="Calibri" w:cs="Times New Roman" w:hint="eastAsia"/>
                <w:i/>
                <w:szCs w:val="24"/>
                <w:lang w:val="ro-RO"/>
              </w:rPr>
              <w:t>î</w:t>
            </w:r>
            <w:r w:rsidRPr="00F300D8">
              <w:rPr>
                <w:rFonts w:eastAsia="Calibri" w:cs="Times New Roman"/>
                <w:i/>
                <w:szCs w:val="24"/>
                <w:lang w:val="ro-RO"/>
              </w:rPr>
              <w:t>ntreprinderii și dimensiunea acesteia;</w:t>
            </w:r>
          </w:p>
          <w:p w:rsidR="00B23684" w:rsidRPr="00F300D8" w:rsidRDefault="00B23684" w:rsidP="00B23684">
            <w:pPr>
              <w:widowControl w:val="0"/>
              <w:ind w:left="720"/>
              <w:jc w:val="both"/>
              <w:rPr>
                <w:rFonts w:eastAsia="Calibri" w:cs="Times New Roman"/>
                <w:i/>
                <w:szCs w:val="24"/>
                <w:lang w:val="ro-RO"/>
              </w:rPr>
            </w:pPr>
            <w:r w:rsidRPr="00F300D8">
              <w:rPr>
                <w:rFonts w:eastAsia="Calibri" w:cs="Times New Roman"/>
                <w:i/>
                <w:szCs w:val="24"/>
                <w:lang w:val="ro-RO"/>
              </w:rPr>
              <w:t xml:space="preserve">(b) descrierea proiectului, inclusiv data </w:t>
            </w:r>
            <w:r w:rsidRPr="00F300D8">
              <w:rPr>
                <w:rFonts w:eastAsia="Calibri" w:cs="Times New Roman" w:hint="eastAsia"/>
                <w:i/>
                <w:szCs w:val="24"/>
                <w:lang w:val="ro-RO"/>
              </w:rPr>
              <w:t>î</w:t>
            </w:r>
            <w:r w:rsidRPr="00F300D8">
              <w:rPr>
                <w:rFonts w:eastAsia="Calibri" w:cs="Times New Roman"/>
                <w:i/>
                <w:szCs w:val="24"/>
                <w:lang w:val="ro-RO"/>
              </w:rPr>
              <w:t xml:space="preserve">nceperii și a </w:t>
            </w:r>
            <w:r w:rsidRPr="00F300D8">
              <w:rPr>
                <w:rFonts w:eastAsia="Calibri" w:cs="Times New Roman" w:hint="eastAsia"/>
                <w:i/>
                <w:szCs w:val="24"/>
                <w:lang w:val="ro-RO"/>
              </w:rPr>
              <w:t>î</w:t>
            </w:r>
            <w:r w:rsidRPr="00F300D8">
              <w:rPr>
                <w:rFonts w:eastAsia="Calibri" w:cs="Times New Roman"/>
                <w:i/>
                <w:szCs w:val="24"/>
                <w:lang w:val="ro-RO"/>
              </w:rPr>
              <w:t>ncheierii acestuia;</w:t>
            </w:r>
          </w:p>
          <w:p w:rsidR="00B23684" w:rsidRPr="00F300D8" w:rsidRDefault="00B23684" w:rsidP="00B23684">
            <w:pPr>
              <w:widowControl w:val="0"/>
              <w:ind w:left="720"/>
              <w:jc w:val="both"/>
              <w:rPr>
                <w:rFonts w:eastAsia="Calibri" w:cs="Times New Roman"/>
                <w:i/>
                <w:szCs w:val="24"/>
                <w:lang w:val="ro-RO"/>
              </w:rPr>
            </w:pPr>
            <w:r w:rsidRPr="00F300D8">
              <w:rPr>
                <w:rFonts w:eastAsia="Calibri" w:cs="Times New Roman"/>
                <w:i/>
                <w:szCs w:val="24"/>
                <w:lang w:val="ro-RO"/>
              </w:rPr>
              <w:t>(c) locul de desf</w:t>
            </w:r>
            <w:r w:rsidRPr="00F300D8">
              <w:rPr>
                <w:rFonts w:eastAsia="Calibri" w:cs="Times New Roman" w:hint="eastAsia"/>
                <w:i/>
                <w:szCs w:val="24"/>
                <w:lang w:val="ro-RO"/>
              </w:rPr>
              <w:t>ă</w:t>
            </w:r>
            <w:r w:rsidRPr="00F300D8">
              <w:rPr>
                <w:rFonts w:eastAsia="Calibri" w:cs="Times New Roman"/>
                <w:i/>
                <w:szCs w:val="24"/>
                <w:lang w:val="ro-RO"/>
              </w:rPr>
              <w:t>șurare a proiectului;</w:t>
            </w:r>
          </w:p>
          <w:p w:rsidR="00B23684" w:rsidRPr="00F300D8" w:rsidRDefault="00B23684" w:rsidP="00B23684">
            <w:pPr>
              <w:widowControl w:val="0"/>
              <w:ind w:left="720"/>
              <w:jc w:val="both"/>
              <w:rPr>
                <w:rFonts w:eastAsia="Calibri" w:cs="Times New Roman"/>
                <w:i/>
                <w:szCs w:val="24"/>
                <w:lang w:val="ro-RO"/>
              </w:rPr>
            </w:pPr>
            <w:r w:rsidRPr="00F300D8">
              <w:rPr>
                <w:rFonts w:eastAsia="Calibri" w:cs="Times New Roman"/>
                <w:i/>
                <w:szCs w:val="24"/>
                <w:lang w:val="ro-RO"/>
              </w:rPr>
              <w:t>(d) lista costurilor proiectului;</w:t>
            </w:r>
          </w:p>
          <w:p w:rsidR="00B23684" w:rsidRPr="00F300D8" w:rsidRDefault="00B23684" w:rsidP="00B23684">
            <w:pPr>
              <w:widowControl w:val="0"/>
              <w:spacing w:after="120"/>
              <w:ind w:left="720"/>
              <w:jc w:val="both"/>
              <w:rPr>
                <w:rFonts w:eastAsia="Calibri" w:cs="Times New Roman"/>
                <w:i/>
                <w:szCs w:val="24"/>
                <w:lang w:val="ro-RO"/>
              </w:rPr>
            </w:pPr>
            <w:r w:rsidRPr="00F300D8">
              <w:rPr>
                <w:rFonts w:eastAsia="Calibri" w:cs="Times New Roman"/>
                <w:i/>
                <w:szCs w:val="24"/>
                <w:lang w:val="ro-RO"/>
              </w:rPr>
              <w:t xml:space="preserve">(e) tipul de ajutor (grant, </w:t>
            </w:r>
            <w:r w:rsidRPr="00F300D8">
              <w:rPr>
                <w:rFonts w:eastAsia="Calibri" w:cs="Times New Roman" w:hint="eastAsia"/>
                <w:i/>
                <w:szCs w:val="24"/>
                <w:lang w:val="ro-RO"/>
              </w:rPr>
              <w:t>î</w:t>
            </w:r>
            <w:r w:rsidRPr="00F300D8">
              <w:rPr>
                <w:rFonts w:eastAsia="Calibri" w:cs="Times New Roman"/>
                <w:i/>
                <w:szCs w:val="24"/>
                <w:lang w:val="ro-RO"/>
              </w:rPr>
              <w:t>mprumut, garanție, avans rambursabil, injecție de capital sau altele) și valoarea finanț</w:t>
            </w:r>
            <w:r w:rsidRPr="00F300D8">
              <w:rPr>
                <w:rFonts w:eastAsia="Calibri" w:cs="Times New Roman" w:hint="eastAsia"/>
                <w:i/>
                <w:szCs w:val="24"/>
                <w:lang w:val="ro-RO"/>
              </w:rPr>
              <w:t>ă</w:t>
            </w:r>
            <w:r w:rsidRPr="00F300D8">
              <w:rPr>
                <w:rFonts w:eastAsia="Calibri" w:cs="Times New Roman"/>
                <w:i/>
                <w:szCs w:val="24"/>
                <w:lang w:val="ro-RO"/>
              </w:rPr>
              <w:t>rii publice necesare pentru proiect.</w:t>
            </w:r>
          </w:p>
          <w:p w:rsidR="00421E8E" w:rsidRPr="00F300D8" w:rsidRDefault="000F6D69" w:rsidP="00421E8E">
            <w:pPr>
              <w:widowControl w:val="0"/>
              <w:spacing w:after="120"/>
              <w:jc w:val="both"/>
              <w:rPr>
                <w:rFonts w:eastAsia="Calibri" w:cs="Times New Roman"/>
                <w:i/>
                <w:szCs w:val="24"/>
                <w:lang w:val="ro-RO"/>
              </w:rPr>
            </w:pPr>
            <w:r w:rsidRPr="00F300D8">
              <w:rPr>
                <w:rFonts w:eastAsia="Times New Roman" w:cs="Times New Roman"/>
                <w:szCs w:val="24"/>
                <w:lang w:val="ro-RO" w:eastAsia="ro-RO"/>
              </w:rPr>
              <w:t>Conform Ghidului solicitantului aferent O</w:t>
            </w:r>
            <w:r w:rsidR="007F2198" w:rsidRPr="00F300D8">
              <w:rPr>
                <w:rFonts w:eastAsia="Times New Roman" w:cs="Times New Roman"/>
                <w:szCs w:val="24"/>
                <w:lang w:val="ro-RO" w:eastAsia="ro-RO"/>
              </w:rPr>
              <w:t>biectivului specific</w:t>
            </w:r>
            <w:r w:rsidRPr="00F300D8">
              <w:rPr>
                <w:rFonts w:eastAsia="Times New Roman" w:cs="Times New Roman"/>
                <w:szCs w:val="24"/>
                <w:lang w:val="ro-RO" w:eastAsia="ro-RO"/>
              </w:rPr>
              <w:t xml:space="preserve"> </w:t>
            </w:r>
            <w:r w:rsidR="008E2D91" w:rsidRPr="00F300D8">
              <w:rPr>
                <w:rFonts w:eastAsia="Times New Roman" w:cs="Times New Roman"/>
                <w:szCs w:val="24"/>
                <w:lang w:val="ro-RO" w:eastAsia="ro-RO"/>
              </w:rPr>
              <w:t>7.1</w:t>
            </w:r>
            <w:r w:rsidRPr="00F300D8">
              <w:rPr>
                <w:rFonts w:eastAsia="Times New Roman" w:cs="Times New Roman"/>
                <w:szCs w:val="24"/>
                <w:lang w:val="ro-RO" w:eastAsia="ro-RO"/>
              </w:rPr>
              <w:t xml:space="preserve">, </w:t>
            </w:r>
            <w:r w:rsidR="008D2621" w:rsidRPr="00F300D8">
              <w:rPr>
                <w:rFonts w:eastAsia="Times New Roman" w:cs="Times New Roman"/>
                <w:szCs w:val="24"/>
                <w:lang w:val="ro-RO" w:eastAsia="ro-RO"/>
              </w:rPr>
              <w:t>secțiunea</w:t>
            </w:r>
            <w:r w:rsidRPr="00F300D8">
              <w:rPr>
                <w:rFonts w:eastAsia="Times New Roman" w:cs="Times New Roman"/>
                <w:szCs w:val="24"/>
                <w:lang w:val="ro-RO" w:eastAsia="ro-RO"/>
              </w:rPr>
              <w:t xml:space="preserve"> </w:t>
            </w:r>
            <w:r w:rsidRPr="00F300D8">
              <w:rPr>
                <w:rFonts w:eastAsia="Times New Roman" w:cs="Times New Roman"/>
                <w:i/>
                <w:szCs w:val="24"/>
                <w:lang w:val="ro-RO" w:eastAsia="ro-RO"/>
              </w:rPr>
              <w:t>1.9 Ajutor de stat</w:t>
            </w:r>
            <w:r w:rsidRPr="00F300D8">
              <w:rPr>
                <w:rFonts w:eastAsia="Times New Roman" w:cs="Times New Roman"/>
                <w:szCs w:val="24"/>
                <w:lang w:val="ro-RO" w:eastAsia="ro-RO"/>
              </w:rPr>
              <w:t xml:space="preserve"> momentul demarării lucrărilor este </w:t>
            </w:r>
            <w:r w:rsidR="008E2D91" w:rsidRPr="00F300D8">
              <w:rPr>
                <w:rFonts w:eastAsia="Times New Roman" w:cs="Times New Roman"/>
                <w:szCs w:val="24"/>
                <w:lang w:val="ro-RO" w:eastAsia="ro-RO"/>
              </w:rPr>
              <w:t xml:space="preserve">data </w:t>
            </w:r>
            <w:r w:rsidR="001405C9" w:rsidRPr="001405C9">
              <w:rPr>
                <w:rFonts w:eastAsia="Times New Roman" w:cs="Times New Roman"/>
                <w:szCs w:val="24"/>
                <w:lang w:val="ro-RO" w:eastAsia="ro-RO"/>
              </w:rPr>
              <w:t xml:space="preserve">comunicării de către </w:t>
            </w:r>
            <w:r w:rsidR="00BD0183">
              <w:rPr>
                <w:rFonts w:eastAsia="Times New Roman" w:cs="Times New Roman"/>
                <w:szCs w:val="24"/>
                <w:lang w:val="ro-RO" w:eastAsia="ro-RO"/>
              </w:rPr>
              <w:t>autoritatea de management</w:t>
            </w:r>
            <w:r w:rsidR="001405C9" w:rsidRPr="001405C9">
              <w:rPr>
                <w:rFonts w:eastAsia="Times New Roman" w:cs="Times New Roman"/>
                <w:szCs w:val="24"/>
                <w:lang w:val="ro-RO" w:eastAsia="ro-RO"/>
              </w:rPr>
              <w:t xml:space="preserve"> a rezultatului verificării administrative și a eligibilității proiectului</w:t>
            </w:r>
            <w:r w:rsidR="008E2D91" w:rsidRPr="00F300D8">
              <w:rPr>
                <w:rFonts w:eastAsia="Times New Roman" w:cs="Times New Roman"/>
                <w:szCs w:val="24"/>
                <w:lang w:val="ro-RO" w:eastAsia="ro-RO"/>
              </w:rPr>
              <w:t>.</w:t>
            </w:r>
          </w:p>
          <w:p w:rsidR="00BD0183" w:rsidRDefault="00CE2433" w:rsidP="00CE2433">
            <w:pPr>
              <w:jc w:val="both"/>
              <w:rPr>
                <w:rFonts w:eastAsia="Times New Roman" w:cs="Times New Roman"/>
                <w:i/>
                <w:color w:val="FF0000"/>
                <w:szCs w:val="24"/>
                <w:lang w:val="ro-RO" w:eastAsia="ro-RO"/>
              </w:rPr>
            </w:pPr>
            <w:r w:rsidRPr="00F300D8">
              <w:rPr>
                <w:rFonts w:eastAsia="Times New Roman" w:cs="Times New Roman"/>
                <w:i/>
                <w:color w:val="FF0000"/>
                <w:szCs w:val="24"/>
                <w:lang w:val="ro-RO" w:eastAsia="ro-RO"/>
              </w:rPr>
              <w:t>Se va completa cu elementele precizate mai sus la punctele a)-e)</w:t>
            </w:r>
            <w:r w:rsidR="00242FE4">
              <w:rPr>
                <w:rFonts w:eastAsia="Times New Roman" w:cs="Times New Roman"/>
                <w:i/>
                <w:color w:val="FF0000"/>
                <w:szCs w:val="24"/>
                <w:lang w:val="ro-RO" w:eastAsia="ro-RO"/>
              </w:rPr>
              <w:t xml:space="preserve">. </w:t>
            </w:r>
          </w:p>
          <w:p w:rsidR="006E26C7" w:rsidRDefault="006E26C7" w:rsidP="00CE2433">
            <w:pPr>
              <w:jc w:val="both"/>
              <w:rPr>
                <w:rFonts w:eastAsia="Times New Roman" w:cs="Times New Roman"/>
                <w:i/>
                <w:color w:val="FF0000"/>
                <w:szCs w:val="24"/>
                <w:lang w:val="ro-RO" w:eastAsia="ro-RO"/>
              </w:rPr>
            </w:pPr>
          </w:p>
          <w:p w:rsidR="00144EC8" w:rsidRPr="00F300D8" w:rsidRDefault="00144EC8" w:rsidP="00CE2433">
            <w:pPr>
              <w:jc w:val="both"/>
              <w:rPr>
                <w:rFonts w:eastAsia="Times New Roman" w:cs="Times New Roman"/>
                <w:i/>
                <w:color w:val="FF0000"/>
                <w:szCs w:val="24"/>
                <w:lang w:val="ro-RO" w:eastAsia="ro-RO"/>
              </w:rPr>
            </w:pPr>
            <w:r w:rsidRPr="00F300D8">
              <w:rPr>
                <w:rFonts w:eastAsia="Times New Roman" w:cs="Times New Roman"/>
                <w:i/>
                <w:color w:val="FF0000"/>
                <w:szCs w:val="24"/>
                <w:lang w:val="ro-RO" w:eastAsia="ro-RO"/>
              </w:rPr>
              <w:t xml:space="preserve">Se va corela cu </w:t>
            </w:r>
            <w:r w:rsidR="00D52190" w:rsidRPr="00F300D8">
              <w:rPr>
                <w:rFonts w:cs="Times New Roman"/>
                <w:i/>
                <w:iCs/>
                <w:color w:val="FF0000"/>
                <w:szCs w:val="24"/>
                <w:lang w:val="ro-RO"/>
              </w:rPr>
              <w:t>Declarația</w:t>
            </w:r>
            <w:r w:rsidRPr="00F300D8">
              <w:rPr>
                <w:rFonts w:cs="Times New Roman"/>
                <w:i/>
                <w:iCs/>
                <w:color w:val="FF0000"/>
                <w:szCs w:val="24"/>
                <w:lang w:val="ro-RO"/>
              </w:rPr>
              <w:t xml:space="preserve"> privind conformitatea cu regulile ajutorului de stat </w:t>
            </w:r>
            <w:r w:rsidRPr="00F300D8">
              <w:rPr>
                <w:rFonts w:eastAsiaTheme="minorEastAsia" w:cs="Times New Roman"/>
                <w:i/>
                <w:iCs/>
                <w:color w:val="FF0000"/>
                <w:szCs w:val="24"/>
                <w:lang w:val="ro-RO"/>
              </w:rPr>
              <w:t xml:space="preserve">şi </w:t>
            </w:r>
            <w:r w:rsidRPr="00F300D8">
              <w:rPr>
                <w:rFonts w:cs="Times New Roman"/>
                <w:i/>
                <w:iCs/>
                <w:color w:val="FF0000"/>
                <w:szCs w:val="24"/>
                <w:lang w:val="ro-RO"/>
              </w:rPr>
              <w:t>Secţiunea G.1.6</w:t>
            </w:r>
            <w:r w:rsidRPr="00F300D8">
              <w:rPr>
                <w:color w:val="FF0000"/>
                <w:lang w:val="ro-RO"/>
              </w:rPr>
              <w:t xml:space="preserve"> </w:t>
            </w:r>
            <w:r w:rsidRPr="00F300D8">
              <w:rPr>
                <w:rFonts w:cs="Times New Roman"/>
                <w:i/>
                <w:iCs/>
                <w:color w:val="FF0000"/>
                <w:szCs w:val="24"/>
                <w:lang w:val="ro-RO"/>
              </w:rPr>
              <w:t>Impactul sprijinului din partea Uniunii asupra implementării proiectului, din Cererea de finanţare.</w:t>
            </w:r>
          </w:p>
        </w:tc>
      </w:tr>
      <w:tr w:rsidR="00B23684" w:rsidRPr="00F300D8" w:rsidTr="001C3062">
        <w:tc>
          <w:tcPr>
            <w:tcW w:w="9576" w:type="dxa"/>
          </w:tcPr>
          <w:p w:rsidR="004D7CCE" w:rsidRPr="00F300D8" w:rsidRDefault="004D7CCE" w:rsidP="001633F9">
            <w:pPr>
              <w:jc w:val="both"/>
              <w:rPr>
                <w:rFonts w:eastAsia="Times New Roman" w:cs="Times New Roman"/>
                <w:szCs w:val="24"/>
                <w:lang w:val="ro-RO" w:eastAsia="ro-RO"/>
              </w:rPr>
            </w:pPr>
          </w:p>
        </w:tc>
      </w:tr>
    </w:tbl>
    <w:p w:rsidR="00D90E91" w:rsidRPr="00F300D8" w:rsidRDefault="00D90E91" w:rsidP="00B23684">
      <w:pPr>
        <w:shd w:val="clear" w:color="auto" w:fill="FFFFFF"/>
        <w:spacing w:after="0" w:line="240" w:lineRule="auto"/>
        <w:jc w:val="both"/>
        <w:rPr>
          <w:b/>
          <w:noProof/>
          <w:u w:val="single"/>
          <w:lang w:val="ro-RO"/>
        </w:rPr>
      </w:pPr>
    </w:p>
    <w:p w:rsidR="00B23684" w:rsidRPr="00F300D8" w:rsidRDefault="0032653A" w:rsidP="00B23684">
      <w:pPr>
        <w:shd w:val="clear" w:color="auto" w:fill="FFFFFF"/>
        <w:spacing w:after="0" w:line="240" w:lineRule="auto"/>
        <w:jc w:val="both"/>
        <w:rPr>
          <w:lang w:val="ro-RO"/>
        </w:rPr>
      </w:pPr>
      <w:r w:rsidRPr="00F300D8">
        <w:rPr>
          <w:rFonts w:cs="Times New Roman"/>
          <w:b/>
          <w:szCs w:val="24"/>
          <w:u w:val="single"/>
          <w:lang w:val="ro-RO"/>
        </w:rPr>
        <w:t>Art. 8</w:t>
      </w:r>
      <w:r w:rsidR="00625C36" w:rsidRPr="00F300D8">
        <w:rPr>
          <w:rFonts w:cs="Times New Roman"/>
          <w:b/>
          <w:szCs w:val="24"/>
          <w:u w:val="single"/>
          <w:lang w:val="ro-RO"/>
        </w:rPr>
        <w:t>.</w:t>
      </w:r>
      <w:r w:rsidR="00B23684" w:rsidRPr="00F300D8">
        <w:rPr>
          <w:rFonts w:cs="Times New Roman"/>
          <w:b/>
          <w:szCs w:val="24"/>
          <w:u w:val="single"/>
          <w:lang w:val="ro-RO"/>
        </w:rPr>
        <w:t>Cumulul</w:t>
      </w:r>
      <w:r w:rsidR="00B23684" w:rsidRPr="00F300D8">
        <w:rPr>
          <w:lang w:val="ro-RO"/>
        </w:rPr>
        <w:t xml:space="preserve"> </w:t>
      </w:r>
    </w:p>
    <w:p w:rsidR="00B81C7F" w:rsidRPr="00F300D8"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B81C7F" w:rsidRPr="00F300D8" w:rsidTr="00B81C7F">
        <w:tc>
          <w:tcPr>
            <w:tcW w:w="9576" w:type="dxa"/>
          </w:tcPr>
          <w:p w:rsidR="00B81C7F" w:rsidRPr="002C26AC" w:rsidRDefault="00A8102D" w:rsidP="00EA26A5">
            <w:pPr>
              <w:shd w:val="clear" w:color="auto" w:fill="FFFFFF"/>
              <w:spacing w:after="120"/>
              <w:jc w:val="both"/>
              <w:rPr>
                <w:rFonts w:cs="Times New Roman"/>
                <w:i/>
                <w:szCs w:val="24"/>
                <w:highlight w:val="yellow"/>
                <w:lang w:val="ro-RO"/>
              </w:rPr>
            </w:pPr>
            <w:r w:rsidRPr="00A8102D">
              <w:rPr>
                <w:rFonts w:cs="Times New Roman"/>
                <w:i/>
                <w:szCs w:val="24"/>
                <w:lang w:val="ro-RO"/>
              </w:rPr>
              <w:t>Pentru acelaşi beneficiar şi aceleași cheltuieli eligibile, ajutorul investițional acordat prin prezenta schemă nu se poate cumula cu niciun alt ajutor de stat acordat, inclusiv de minimis</w:t>
            </w:r>
          </w:p>
        </w:tc>
      </w:tr>
      <w:tr w:rsidR="00B81C7F" w:rsidRPr="00F300D8" w:rsidTr="00B81C7F">
        <w:tc>
          <w:tcPr>
            <w:tcW w:w="9576" w:type="dxa"/>
          </w:tcPr>
          <w:p w:rsidR="007A07F9" w:rsidRPr="007A07F9" w:rsidRDefault="00F04BD4" w:rsidP="007A07F9">
            <w:pPr>
              <w:jc w:val="both"/>
              <w:rPr>
                <w:i/>
                <w:color w:val="FF0000"/>
                <w:lang w:val="ro-RO"/>
              </w:rPr>
            </w:pPr>
            <w:r>
              <w:rPr>
                <w:i/>
                <w:color w:val="FF0000"/>
                <w:lang w:val="ro-RO"/>
              </w:rPr>
              <w:t>Se va justifica dacă pentru aceleași cheltuieli eligibile solicitantul a mai primit alte ajutoare de stat</w:t>
            </w:r>
            <w:r w:rsidR="00C52B94">
              <w:rPr>
                <w:i/>
                <w:color w:val="FF0000"/>
                <w:lang w:val="ro-RO"/>
              </w:rPr>
              <w:t xml:space="preserve"> sau </w:t>
            </w:r>
            <w:r>
              <w:rPr>
                <w:i/>
                <w:color w:val="FF0000"/>
                <w:lang w:val="ro-RO"/>
              </w:rPr>
              <w:t>de minimis</w:t>
            </w:r>
            <w:r w:rsidR="007A07F9" w:rsidRPr="007A07F9">
              <w:rPr>
                <w:i/>
                <w:color w:val="FF0000"/>
                <w:lang w:val="ro-RO"/>
              </w:rPr>
              <w:t>.</w:t>
            </w:r>
          </w:p>
          <w:p w:rsidR="007A07F9" w:rsidRPr="007A07F9" w:rsidRDefault="007A07F9" w:rsidP="007A07F9">
            <w:pPr>
              <w:jc w:val="both"/>
              <w:rPr>
                <w:i/>
                <w:color w:val="FF0000"/>
                <w:lang w:val="ro-RO"/>
              </w:rPr>
            </w:pPr>
          </w:p>
          <w:p w:rsidR="00B81C7F" w:rsidRPr="002C26AC" w:rsidRDefault="007A07F9" w:rsidP="001633F9">
            <w:pPr>
              <w:jc w:val="both"/>
              <w:rPr>
                <w:i/>
                <w:color w:val="FF0000"/>
                <w:highlight w:val="yellow"/>
                <w:lang w:val="ro-RO"/>
              </w:rPr>
            </w:pPr>
            <w:r w:rsidRPr="007A07F9">
              <w:rPr>
                <w:i/>
                <w:color w:val="FF0000"/>
                <w:lang w:val="ro-RO"/>
              </w:rPr>
              <w:t>Răspunsul se va corela cu Declarația privind conformitatea cu regulile ajutorului de stat, din Anexa C1.3 la Cererea de finanţare şi secţiunea C.2.Verificarea conformității cu normele privind ajutoarele de stat, din Cererea de Finanțare</w:t>
            </w:r>
          </w:p>
        </w:tc>
      </w:tr>
    </w:tbl>
    <w:p w:rsidR="00B81C7F" w:rsidRPr="00F300D8" w:rsidRDefault="00B81C7F" w:rsidP="00B23684">
      <w:pPr>
        <w:shd w:val="clear" w:color="auto" w:fill="FFFFFF"/>
        <w:spacing w:after="0" w:line="240" w:lineRule="auto"/>
        <w:jc w:val="both"/>
        <w:rPr>
          <w:lang w:val="ro-RO"/>
        </w:rPr>
      </w:pPr>
    </w:p>
    <w:p w:rsidR="00B23684" w:rsidRPr="00F300D8" w:rsidRDefault="00B23684" w:rsidP="00D329E9">
      <w:pPr>
        <w:shd w:val="clear" w:color="auto" w:fill="FFFFFF"/>
        <w:spacing w:after="0" w:line="240" w:lineRule="auto"/>
        <w:jc w:val="both"/>
        <w:rPr>
          <w:noProof/>
          <w:color w:val="FF0000"/>
          <w:lang w:val="ro-RO"/>
        </w:rPr>
      </w:pPr>
    </w:p>
    <w:p w:rsidR="00BA26D2" w:rsidRPr="00F300D8" w:rsidRDefault="00A31866" w:rsidP="0061296D">
      <w:pPr>
        <w:pStyle w:val="ListParagraph"/>
        <w:numPr>
          <w:ilvl w:val="0"/>
          <w:numId w:val="5"/>
        </w:numPr>
        <w:shd w:val="clear" w:color="auto" w:fill="FFFFFF"/>
        <w:spacing w:after="0" w:line="240" w:lineRule="auto"/>
        <w:jc w:val="both"/>
        <w:rPr>
          <w:b/>
          <w:i/>
          <w:noProof/>
          <w:lang w:val="ro-RO"/>
        </w:rPr>
      </w:pPr>
      <w:r w:rsidRPr="00F300D8">
        <w:rPr>
          <w:rFonts w:cstheme="minorHAnsi"/>
          <w:b/>
          <w:szCs w:val="24"/>
          <w:lang w:val="ro-RO"/>
        </w:rPr>
        <w:t>Reguli specifice</w:t>
      </w:r>
      <w:r w:rsidR="00A22C57" w:rsidRPr="00F300D8">
        <w:rPr>
          <w:rFonts w:cstheme="minorHAnsi"/>
          <w:b/>
          <w:szCs w:val="24"/>
          <w:lang w:val="ro-RO"/>
        </w:rPr>
        <w:t xml:space="preserve"> privind ajutorul de stat</w:t>
      </w:r>
      <w:r w:rsidRPr="00F300D8">
        <w:rPr>
          <w:rFonts w:cstheme="minorHAnsi"/>
          <w:b/>
          <w:szCs w:val="24"/>
          <w:lang w:val="ro-RO"/>
        </w:rPr>
        <w:t xml:space="preserve"> </w:t>
      </w:r>
      <w:r w:rsidR="00A22C57" w:rsidRPr="00F300D8">
        <w:rPr>
          <w:b/>
          <w:noProof/>
          <w:lang w:val="ro-RO"/>
        </w:rPr>
        <w:t xml:space="preserve">prevăzute în Capitolul I al </w:t>
      </w:r>
      <w:r w:rsidR="0061296D" w:rsidRPr="00F300D8">
        <w:rPr>
          <w:b/>
          <w:i/>
          <w:noProof/>
          <w:lang w:val="ro-RO"/>
        </w:rPr>
        <w:t>Regulamentul</w:t>
      </w:r>
      <w:r w:rsidR="00335A65" w:rsidRPr="00F300D8">
        <w:rPr>
          <w:b/>
          <w:i/>
          <w:noProof/>
          <w:lang w:val="ro-RO"/>
        </w:rPr>
        <w:t>ui</w:t>
      </w:r>
      <w:r w:rsidR="0061296D" w:rsidRPr="00F300D8">
        <w:rPr>
          <w:b/>
          <w:i/>
          <w:noProof/>
          <w:lang w:val="ro-RO"/>
        </w:rPr>
        <w:t xml:space="preserve"> (UE) nr.651/2014 de declarare a anumitor categorii de ajutoare compatibile cu piața internă în aplicarea articolelor 107 și 108 din tratat</w:t>
      </w:r>
    </w:p>
    <w:p w:rsidR="0061296D" w:rsidRPr="00F300D8" w:rsidRDefault="0061296D" w:rsidP="0061296D">
      <w:pPr>
        <w:pStyle w:val="ListParagraph"/>
        <w:shd w:val="clear" w:color="auto" w:fill="FFFFFF"/>
        <w:spacing w:after="0" w:line="240" w:lineRule="auto"/>
        <w:ind w:left="360"/>
        <w:jc w:val="both"/>
        <w:rPr>
          <w:b/>
          <w:noProof/>
          <w:lang w:val="ro-RO"/>
        </w:rPr>
      </w:pPr>
    </w:p>
    <w:p w:rsidR="00BA26D2" w:rsidRPr="00F300D8" w:rsidRDefault="00BA26D2" w:rsidP="006F429A">
      <w:pPr>
        <w:shd w:val="clear" w:color="auto" w:fill="FFFFFF"/>
        <w:spacing w:after="0" w:line="240" w:lineRule="auto"/>
        <w:jc w:val="both"/>
        <w:rPr>
          <w:rFonts w:cstheme="minorHAnsi"/>
          <w:b/>
          <w:szCs w:val="24"/>
          <w:lang w:val="ro-RO"/>
        </w:rPr>
      </w:pPr>
    </w:p>
    <w:p w:rsidR="007A4998" w:rsidRPr="00F300D8" w:rsidRDefault="00445199" w:rsidP="00D329E9">
      <w:pPr>
        <w:tabs>
          <w:tab w:val="left" w:pos="0"/>
        </w:tabs>
        <w:spacing w:after="0" w:line="240" w:lineRule="auto"/>
        <w:jc w:val="both"/>
        <w:rPr>
          <w:b/>
          <w:noProof/>
          <w:u w:val="single"/>
          <w:lang w:val="ro-RO"/>
        </w:rPr>
      </w:pPr>
      <w:r w:rsidRPr="00F300D8">
        <w:rPr>
          <w:b/>
          <w:noProof/>
          <w:u w:val="single"/>
          <w:lang w:val="ro-RO"/>
        </w:rPr>
        <w:t xml:space="preserve">Alin. </w:t>
      </w:r>
      <w:r w:rsidR="00EA26A5" w:rsidRPr="00F300D8">
        <w:rPr>
          <w:b/>
          <w:noProof/>
          <w:u w:val="single"/>
          <w:lang w:val="ro-RO"/>
        </w:rPr>
        <w:t>1</w:t>
      </w:r>
      <w:r w:rsidRPr="00F300D8">
        <w:rPr>
          <w:b/>
          <w:noProof/>
          <w:u w:val="single"/>
          <w:lang w:val="ro-RO"/>
        </w:rPr>
        <w:t xml:space="preserve">, </w:t>
      </w:r>
      <w:r w:rsidR="00EA26A5" w:rsidRPr="00F300D8">
        <w:rPr>
          <w:b/>
          <w:noProof/>
          <w:u w:val="single"/>
          <w:lang w:val="ro-RO"/>
        </w:rPr>
        <w:t>Art. 46</w:t>
      </w:r>
      <w:r w:rsidR="00486352" w:rsidRPr="00F300D8">
        <w:rPr>
          <w:b/>
          <w:noProof/>
          <w:u w:val="single"/>
          <w:lang w:val="ro-RO"/>
        </w:rPr>
        <w:t xml:space="preserve">. </w:t>
      </w:r>
      <w:r w:rsidR="00837D24" w:rsidRPr="00F300D8">
        <w:rPr>
          <w:b/>
          <w:noProof/>
          <w:u w:val="single"/>
          <w:lang w:val="ro-RO"/>
        </w:rPr>
        <w:t>Ajutoarele pentru investiții în favoarea sistemelor de termoficare și răcire centralizată eficiente din punct de vedere energetic</w:t>
      </w:r>
    </w:p>
    <w:p w:rsidR="00B900A7" w:rsidRPr="00F300D8"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RPr="00F300D8" w:rsidTr="00B900A7">
        <w:tc>
          <w:tcPr>
            <w:tcW w:w="9576" w:type="dxa"/>
          </w:tcPr>
          <w:p w:rsidR="00B900A7" w:rsidRPr="00F300D8" w:rsidRDefault="00EA26A5" w:rsidP="00EA26A5">
            <w:pPr>
              <w:tabs>
                <w:tab w:val="left" w:pos="0"/>
              </w:tabs>
              <w:jc w:val="both"/>
              <w:rPr>
                <w:i/>
                <w:noProof/>
                <w:lang w:val="ro-RO"/>
              </w:rPr>
            </w:pPr>
            <w:r w:rsidRPr="00F300D8">
              <w:rPr>
                <w:i/>
                <w:noProof/>
              </w:rPr>
              <w:t>Sistemul de termoficare centralizată este eficient din punct de vedere energetic, conform art. 2, alineatele (41) și (42)  din  Directiva 2012/27/UE</w:t>
            </w:r>
          </w:p>
        </w:tc>
      </w:tr>
      <w:tr w:rsidR="00B900A7" w:rsidRPr="00F300D8" w:rsidTr="00B900A7">
        <w:tc>
          <w:tcPr>
            <w:tcW w:w="9576" w:type="dxa"/>
          </w:tcPr>
          <w:p w:rsidR="00022C5B" w:rsidRPr="00F300D8" w:rsidRDefault="00EA26A5" w:rsidP="00BA26D2">
            <w:pPr>
              <w:autoSpaceDE w:val="0"/>
              <w:autoSpaceDN w:val="0"/>
              <w:adjustRightInd w:val="0"/>
              <w:jc w:val="both"/>
              <w:rPr>
                <w:i/>
                <w:noProof/>
                <w:color w:val="FF0000"/>
                <w:lang w:val="ro-RO"/>
              </w:rPr>
            </w:pPr>
            <w:r w:rsidRPr="00F300D8">
              <w:rPr>
                <w:i/>
                <w:noProof/>
                <w:color w:val="FF0000"/>
                <w:lang w:val="ro-RO"/>
              </w:rPr>
              <w:t xml:space="preserve">Se va face dovada că sistemul de termoficare propus spre finanțare </w:t>
            </w:r>
            <w:r w:rsidR="00ED6327">
              <w:rPr>
                <w:i/>
                <w:noProof/>
                <w:color w:val="FF0000"/>
                <w:lang w:val="ro-RO"/>
              </w:rPr>
              <w:t xml:space="preserve">îndeplinește </w:t>
            </w:r>
            <w:r w:rsidRPr="00F300D8">
              <w:rPr>
                <w:i/>
                <w:noProof/>
                <w:color w:val="FF0000"/>
                <w:lang w:val="ro-RO"/>
              </w:rPr>
              <w:t>criteriile definiției sistemului eficient de termoficare centralizată, astfel cum sunt prevăzute la art. 2, alineatele (41) și (42)  din Directiva 2012/27/UE</w:t>
            </w:r>
            <w:r w:rsidR="007A2DCC" w:rsidRPr="00F300D8">
              <w:rPr>
                <w:i/>
                <w:noProof/>
                <w:color w:val="FF0000"/>
                <w:lang w:val="ro-RO"/>
              </w:rPr>
              <w:t>.</w:t>
            </w:r>
            <w:r w:rsidR="00ED6327">
              <w:t xml:space="preserve"> </w:t>
            </w:r>
            <w:r w:rsidR="00ED6327">
              <w:rPr>
                <w:i/>
                <w:noProof/>
                <w:color w:val="FF0000"/>
                <w:lang w:val="ro-RO"/>
              </w:rPr>
              <w:t>D</w:t>
            </w:r>
            <w:r w:rsidR="00ED6327" w:rsidRPr="00ED6327">
              <w:rPr>
                <w:i/>
                <w:noProof/>
                <w:color w:val="FF0000"/>
                <w:lang w:val="ro-RO"/>
              </w:rPr>
              <w:t>efiniția include instalațiile de termoficare/răcire și rețeaua (inclusiv echipamentele conexe necesare pentru a distribui agentul de termoficare/răcire de la unitățile de producție la sediul clientului)</w:t>
            </w:r>
          </w:p>
          <w:p w:rsidR="00022C5B" w:rsidRPr="00F300D8" w:rsidRDefault="00022C5B" w:rsidP="00BA26D2">
            <w:pPr>
              <w:autoSpaceDE w:val="0"/>
              <w:autoSpaceDN w:val="0"/>
              <w:adjustRightInd w:val="0"/>
              <w:jc w:val="both"/>
              <w:rPr>
                <w:i/>
                <w:noProof/>
                <w:color w:val="FF0000"/>
                <w:lang w:val="ro-RO"/>
              </w:rPr>
            </w:pPr>
          </w:p>
          <w:p w:rsidR="00891660" w:rsidRPr="00F300D8" w:rsidRDefault="007A2DCC" w:rsidP="00BA26D2">
            <w:pPr>
              <w:autoSpaceDE w:val="0"/>
              <w:autoSpaceDN w:val="0"/>
              <w:adjustRightInd w:val="0"/>
              <w:jc w:val="both"/>
              <w:rPr>
                <w:i/>
                <w:noProof/>
                <w:color w:val="FF0000"/>
                <w:lang w:val="ro-RO"/>
              </w:rPr>
            </w:pPr>
            <w:r w:rsidRPr="00F300D8">
              <w:rPr>
                <w:i/>
                <w:noProof/>
                <w:color w:val="FF0000"/>
                <w:lang w:val="ro-RO"/>
              </w:rPr>
              <w:t>În cazul în care</w:t>
            </w:r>
            <w:r w:rsidR="00AC523C" w:rsidRPr="00F300D8">
              <w:rPr>
                <w:i/>
                <w:noProof/>
                <w:color w:val="FF0000"/>
                <w:lang w:val="ro-RO"/>
              </w:rPr>
              <w:t>,</w:t>
            </w:r>
            <w:r w:rsidRPr="00F300D8">
              <w:rPr>
                <w:i/>
                <w:noProof/>
                <w:color w:val="FF0000"/>
                <w:lang w:val="ro-RO"/>
              </w:rPr>
              <w:t xml:space="preserve"> la momentul depunerii Cererii de finanțare</w:t>
            </w:r>
            <w:r w:rsidR="00AC523C" w:rsidRPr="00F300D8">
              <w:rPr>
                <w:i/>
                <w:noProof/>
                <w:color w:val="FF0000"/>
                <w:lang w:val="ro-RO"/>
              </w:rPr>
              <w:t xml:space="preserve"> în MySMIS,</w:t>
            </w:r>
            <w:r w:rsidRPr="00F300D8">
              <w:rPr>
                <w:i/>
                <w:noProof/>
                <w:color w:val="FF0000"/>
                <w:lang w:val="ro-RO"/>
              </w:rPr>
              <w:t xml:space="preserve"> sistemul de termoficare nu respectă criteriile de eficiență energetică a sistemului de termoficare, investițiile de eficientizare vor fi demarate în maximum 3 ani de la finalizarea proiectului de reabilitare a rețelei </w:t>
            </w:r>
            <w:r w:rsidR="00EF6A2F">
              <w:rPr>
                <w:i/>
                <w:noProof/>
                <w:color w:val="FF0000"/>
                <w:lang w:val="ro-RO"/>
              </w:rPr>
              <w:t>termice</w:t>
            </w:r>
            <w:r w:rsidRPr="00F300D8">
              <w:rPr>
                <w:i/>
                <w:noProof/>
                <w:color w:val="FF0000"/>
                <w:lang w:val="ro-RO"/>
              </w:rPr>
              <w:t xml:space="preserve">. În acest </w:t>
            </w:r>
            <w:r w:rsidR="00632DAE">
              <w:rPr>
                <w:i/>
                <w:noProof/>
                <w:color w:val="FF0000"/>
                <w:lang w:val="ro-RO"/>
              </w:rPr>
              <w:t>caz</w:t>
            </w:r>
            <w:r w:rsidRPr="00F300D8">
              <w:rPr>
                <w:i/>
                <w:noProof/>
                <w:color w:val="FF0000"/>
                <w:lang w:val="ro-RO"/>
              </w:rPr>
              <w:t xml:space="preserve">, solicitantul de finanțare va prezenta </w:t>
            </w:r>
            <w:r w:rsidR="003A45CA">
              <w:rPr>
                <w:i/>
                <w:noProof/>
                <w:color w:val="FF0000"/>
                <w:lang w:val="ro-RO"/>
              </w:rPr>
              <w:t xml:space="preserve">angajamentul privind realizarea acestor investiții în maximum 3 ani, precum și </w:t>
            </w:r>
            <w:r w:rsidRPr="00F300D8">
              <w:rPr>
                <w:i/>
                <w:noProof/>
                <w:color w:val="FF0000"/>
                <w:lang w:val="ro-RO"/>
              </w:rPr>
              <w:t>un Plan de acțiune privind îndeplinirea criteriilor prevăzute la art. 2, alineatele (41) și (42) din Directiva 2012/27/UE</w:t>
            </w:r>
            <w:r w:rsidR="00BA26D2" w:rsidRPr="00F300D8">
              <w:rPr>
                <w:i/>
                <w:noProof/>
                <w:color w:val="FF0000"/>
                <w:lang w:val="ro-RO"/>
              </w:rPr>
              <w:t>.</w:t>
            </w:r>
          </w:p>
          <w:p w:rsidR="00733A9C" w:rsidRPr="00F300D8" w:rsidRDefault="00733A9C" w:rsidP="00891660">
            <w:pPr>
              <w:autoSpaceDE w:val="0"/>
              <w:autoSpaceDN w:val="0"/>
              <w:adjustRightInd w:val="0"/>
              <w:rPr>
                <w:i/>
                <w:noProof/>
                <w:color w:val="FF0000"/>
                <w:lang w:val="ro-RO"/>
              </w:rPr>
            </w:pPr>
          </w:p>
          <w:p w:rsidR="00B900A7" w:rsidRPr="00F300D8" w:rsidRDefault="00891660" w:rsidP="007A2DCC">
            <w:pPr>
              <w:autoSpaceDE w:val="0"/>
              <w:autoSpaceDN w:val="0"/>
              <w:adjustRightInd w:val="0"/>
              <w:rPr>
                <w:b/>
                <w:noProof/>
                <w:u w:val="single"/>
                <w:lang w:val="ro-RO"/>
              </w:rPr>
            </w:pPr>
            <w:r w:rsidRPr="00F300D8">
              <w:rPr>
                <w:i/>
                <w:noProof/>
                <w:color w:val="FF0000"/>
                <w:lang w:val="ro-RO"/>
              </w:rPr>
              <w:t xml:space="preserve">Se va corela cu </w:t>
            </w:r>
            <w:r w:rsidR="00B30125" w:rsidRPr="00F300D8">
              <w:rPr>
                <w:i/>
                <w:noProof/>
                <w:color w:val="FF0000"/>
                <w:lang w:val="ro-RO"/>
              </w:rPr>
              <w:t xml:space="preserve">Studiul de fezabilitate, </w:t>
            </w:r>
            <w:r w:rsidR="00A87A2E">
              <w:rPr>
                <w:i/>
                <w:noProof/>
                <w:color w:val="FF0000"/>
                <w:lang w:val="ro-RO"/>
              </w:rPr>
              <w:t xml:space="preserve">Declarația de eligibilitate, </w:t>
            </w:r>
            <w:r w:rsidRPr="00F300D8">
              <w:rPr>
                <w:i/>
                <w:noProof/>
                <w:color w:val="FF0000"/>
                <w:lang w:val="ro-RO"/>
              </w:rPr>
              <w:t xml:space="preserve">Declaraţia </w:t>
            </w:r>
            <w:r w:rsidR="007403BE" w:rsidRPr="00F300D8">
              <w:rPr>
                <w:i/>
                <w:noProof/>
                <w:color w:val="FF0000"/>
                <w:lang w:val="ro-RO"/>
              </w:rPr>
              <w:t>de angajament</w:t>
            </w:r>
            <w:r w:rsidR="007A2DCC" w:rsidRPr="00F300D8">
              <w:rPr>
                <w:i/>
                <w:noProof/>
                <w:color w:val="FF0000"/>
                <w:lang w:val="ro-RO"/>
              </w:rPr>
              <w:t xml:space="preserve"> și Analiza instituțională</w:t>
            </w:r>
          </w:p>
        </w:tc>
      </w:tr>
    </w:tbl>
    <w:p w:rsidR="00B900A7" w:rsidRPr="00F300D8" w:rsidRDefault="00B900A7" w:rsidP="00D329E9">
      <w:pPr>
        <w:tabs>
          <w:tab w:val="left" w:pos="0"/>
        </w:tabs>
        <w:spacing w:after="0" w:line="240" w:lineRule="auto"/>
        <w:jc w:val="both"/>
        <w:rPr>
          <w:b/>
          <w:noProof/>
          <w:u w:val="single"/>
          <w:lang w:val="ro-RO"/>
        </w:rPr>
      </w:pPr>
    </w:p>
    <w:p w:rsidR="00A7533E" w:rsidRPr="00F300D8" w:rsidRDefault="00A7533E" w:rsidP="00D329E9">
      <w:pPr>
        <w:shd w:val="clear" w:color="auto" w:fill="FFFFFF"/>
        <w:spacing w:after="0" w:line="240" w:lineRule="auto"/>
        <w:jc w:val="both"/>
        <w:rPr>
          <w:noProof/>
          <w:color w:val="FF0000"/>
          <w:lang w:val="ro-RO"/>
        </w:rPr>
      </w:pPr>
    </w:p>
    <w:p w:rsidR="00830270" w:rsidRPr="00F300D8" w:rsidRDefault="00830270" w:rsidP="00830270">
      <w:pPr>
        <w:shd w:val="clear" w:color="auto" w:fill="FFFFFF"/>
        <w:spacing w:after="0" w:line="240" w:lineRule="auto"/>
        <w:jc w:val="both"/>
        <w:rPr>
          <w:b/>
          <w:noProof/>
          <w:u w:val="single"/>
          <w:lang w:val="ro-RO"/>
        </w:rPr>
      </w:pPr>
      <w:r w:rsidRPr="00F300D8">
        <w:rPr>
          <w:b/>
          <w:noProof/>
          <w:u w:val="single"/>
          <w:lang w:val="ro-RO"/>
        </w:rPr>
        <w:t xml:space="preserve">Alin. </w:t>
      </w:r>
      <w:r w:rsidR="00EF6A2F">
        <w:rPr>
          <w:b/>
          <w:noProof/>
          <w:u w:val="single"/>
          <w:lang w:val="ro-RO"/>
        </w:rPr>
        <w:t>(</w:t>
      </w:r>
      <w:r w:rsidRPr="00F300D8">
        <w:rPr>
          <w:b/>
          <w:noProof/>
          <w:u w:val="single"/>
          <w:lang w:val="ro-RO"/>
        </w:rPr>
        <w:t>5</w:t>
      </w:r>
      <w:r w:rsidR="00EF6A2F">
        <w:rPr>
          <w:b/>
          <w:noProof/>
          <w:u w:val="single"/>
          <w:lang w:val="ro-RO"/>
        </w:rPr>
        <w:t>)</w:t>
      </w:r>
      <w:r w:rsidRPr="00F300D8">
        <w:rPr>
          <w:b/>
          <w:noProof/>
          <w:u w:val="single"/>
          <w:lang w:val="ro-RO"/>
        </w:rPr>
        <w:t xml:space="preserve"> </w:t>
      </w:r>
      <w:r w:rsidR="00EF6A2F">
        <w:rPr>
          <w:b/>
          <w:noProof/>
          <w:u w:val="single"/>
          <w:lang w:val="ro-RO"/>
        </w:rPr>
        <w:t xml:space="preserve">și (6), </w:t>
      </w:r>
      <w:r w:rsidRPr="00F300D8">
        <w:rPr>
          <w:b/>
          <w:noProof/>
          <w:u w:val="single"/>
          <w:lang w:val="ro-RO"/>
        </w:rPr>
        <w:t>Art. 46. Ajutoarele pentru investiții în favoarea sistemelor de termoficare și răcire centralizată eficiente din punct de vedere energetic</w:t>
      </w:r>
    </w:p>
    <w:p w:rsidR="00830270" w:rsidRPr="00F300D8" w:rsidRDefault="00830270" w:rsidP="00830270">
      <w:pPr>
        <w:shd w:val="clear" w:color="auto" w:fill="FFFFFF"/>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830270" w:rsidRPr="00F300D8" w:rsidTr="00A21098">
        <w:tc>
          <w:tcPr>
            <w:tcW w:w="9576" w:type="dxa"/>
            <w:shd w:val="clear" w:color="auto" w:fill="auto"/>
          </w:tcPr>
          <w:p w:rsidR="00830270" w:rsidRPr="00F300D8" w:rsidRDefault="00830270" w:rsidP="00F335A3">
            <w:pPr>
              <w:shd w:val="clear" w:color="auto" w:fill="FFFFFF"/>
              <w:spacing w:before="100" w:beforeAutospacing="1" w:after="100" w:afterAutospacing="1"/>
              <w:jc w:val="both"/>
              <w:rPr>
                <w:i/>
                <w:color w:val="000000"/>
                <w:shd w:val="clear" w:color="auto" w:fill="FFFFFF"/>
              </w:rPr>
            </w:pPr>
            <w:r w:rsidRPr="00F300D8">
              <w:rPr>
                <w:i/>
                <w:color w:val="000000"/>
                <w:shd w:val="clear" w:color="auto" w:fill="FFFFFF"/>
              </w:rPr>
              <w:t xml:space="preserve">Costurile eligibile pentru rețeaua de </w:t>
            </w:r>
            <w:r w:rsidR="00EF6A2F">
              <w:rPr>
                <w:i/>
                <w:color w:val="000000"/>
                <w:shd w:val="clear" w:color="auto" w:fill="FFFFFF"/>
              </w:rPr>
              <w:t xml:space="preserve">distribuție </w:t>
            </w:r>
            <w:r w:rsidRPr="00F300D8">
              <w:rPr>
                <w:i/>
                <w:color w:val="000000"/>
                <w:shd w:val="clear" w:color="auto" w:fill="FFFFFF"/>
              </w:rPr>
              <w:t>sunt costurile de investiții.</w:t>
            </w:r>
          </w:p>
          <w:p w:rsidR="00830270" w:rsidRPr="00F300D8" w:rsidRDefault="004B0351" w:rsidP="005566B9">
            <w:pPr>
              <w:shd w:val="clear" w:color="auto" w:fill="FFFFFF"/>
              <w:spacing w:before="100" w:beforeAutospacing="1" w:after="100" w:afterAutospacing="1"/>
              <w:jc w:val="both"/>
              <w:rPr>
                <w:rFonts w:eastAsia="Times New Roman" w:cs="Times New Roman"/>
                <w:i/>
                <w:szCs w:val="24"/>
                <w:lang w:val="ro-RO"/>
              </w:rPr>
            </w:pPr>
            <w:r>
              <w:rPr>
                <w:i/>
                <w:color w:val="000000"/>
                <w:shd w:val="clear" w:color="auto" w:fill="FFFFFF"/>
              </w:rPr>
              <w:t>V</w:t>
            </w:r>
            <w:r w:rsidRPr="004B0351">
              <w:rPr>
                <w:i/>
                <w:color w:val="000000"/>
                <w:shd w:val="clear" w:color="auto" w:fill="FFFFFF"/>
              </w:rPr>
              <w:t xml:space="preserve">aloarea ajutorului pentru rețeaua de distribuție nu trebuie să depășească diferența dintre costurile eligibile și profitul din exploatare. Profitul din exploatare se deduce din costurile eligibile ex ante </w:t>
            </w:r>
            <w:r w:rsidR="005566B9">
              <w:rPr>
                <w:i/>
                <w:color w:val="000000"/>
                <w:shd w:val="clear" w:color="auto" w:fill="FFFFFF"/>
              </w:rPr>
              <w:t>prin analiza financiară a proiectului.</w:t>
            </w:r>
          </w:p>
        </w:tc>
      </w:tr>
      <w:tr w:rsidR="00830270" w:rsidRPr="00F300D8" w:rsidTr="00A21098">
        <w:tc>
          <w:tcPr>
            <w:tcW w:w="9576" w:type="dxa"/>
            <w:shd w:val="clear" w:color="auto" w:fill="auto"/>
          </w:tcPr>
          <w:p w:rsidR="00830270" w:rsidRPr="00F300D8" w:rsidRDefault="00830270" w:rsidP="008B63F2">
            <w:pPr>
              <w:shd w:val="clear" w:color="auto" w:fill="FFFFFF"/>
              <w:spacing w:before="100" w:beforeAutospacing="1" w:after="100" w:afterAutospacing="1"/>
              <w:jc w:val="both"/>
              <w:rPr>
                <w:i/>
                <w:noProof/>
                <w:color w:val="FF0000"/>
                <w:lang w:val="ro-RO"/>
              </w:rPr>
            </w:pPr>
            <w:r w:rsidRPr="00F300D8">
              <w:rPr>
                <w:i/>
                <w:noProof/>
                <w:color w:val="FF0000"/>
                <w:lang w:val="ro-RO"/>
              </w:rPr>
              <w:t>Se va demonstra că valoarea ajutorului solicitat</w:t>
            </w:r>
            <w:r w:rsidR="00EF6A2F">
              <w:rPr>
                <w:i/>
                <w:noProof/>
                <w:color w:val="FF0000"/>
                <w:lang w:val="ro-RO"/>
              </w:rPr>
              <w:t xml:space="preserve"> </w:t>
            </w:r>
            <w:r w:rsidR="00EF6A2F" w:rsidRPr="00EF6A2F">
              <w:rPr>
                <w:i/>
                <w:noProof/>
                <w:color w:val="FF0000"/>
                <w:lang w:val="ro-RO"/>
              </w:rPr>
              <w:t>pentru investiții cu rețeaua termică</w:t>
            </w:r>
            <w:r w:rsidR="004702F6">
              <w:rPr>
                <w:i/>
                <w:noProof/>
                <w:color w:val="FF0000"/>
                <w:lang w:val="ro-RO"/>
              </w:rPr>
              <w:t>,</w:t>
            </w:r>
            <w:r w:rsidRPr="00F300D8">
              <w:rPr>
                <w:i/>
                <w:noProof/>
                <w:color w:val="FF0000"/>
                <w:lang w:val="ro-RO"/>
              </w:rPr>
              <w:t xml:space="preserve"> ce rezultă din analiza </w:t>
            </w:r>
            <w:r w:rsidR="004702F6">
              <w:rPr>
                <w:i/>
                <w:noProof/>
                <w:color w:val="FF0000"/>
                <w:lang w:val="ro-RO"/>
              </w:rPr>
              <w:t xml:space="preserve">financiară efectuată la nivelul proiectului, </w:t>
            </w:r>
            <w:r w:rsidR="00596BEE">
              <w:rPr>
                <w:i/>
                <w:noProof/>
                <w:color w:val="FF0000"/>
                <w:lang w:val="ro-RO"/>
              </w:rPr>
              <w:t>respectă condițiile de mai sus.</w:t>
            </w:r>
          </w:p>
          <w:p w:rsidR="00830270" w:rsidRPr="00F300D8" w:rsidRDefault="00C607A7" w:rsidP="00E85905">
            <w:pPr>
              <w:shd w:val="clear" w:color="auto" w:fill="FFFFFF"/>
              <w:spacing w:before="100" w:beforeAutospacing="1" w:after="100" w:afterAutospacing="1"/>
              <w:jc w:val="both"/>
              <w:rPr>
                <w:i/>
                <w:noProof/>
                <w:lang w:val="ro-RO"/>
              </w:rPr>
            </w:pPr>
            <w:r w:rsidRPr="00F300D8">
              <w:rPr>
                <w:i/>
                <w:noProof/>
                <w:color w:val="FF0000"/>
                <w:lang w:val="ro-RO"/>
              </w:rPr>
              <w:t>Se va corela</w:t>
            </w:r>
            <w:r w:rsidR="00830270" w:rsidRPr="00F300D8">
              <w:rPr>
                <w:i/>
                <w:noProof/>
                <w:color w:val="FF0000"/>
                <w:lang w:val="ro-RO"/>
              </w:rPr>
              <w:t xml:space="preserve"> cu analiza </w:t>
            </w:r>
            <w:r w:rsidR="00E85905" w:rsidRPr="00F300D8">
              <w:rPr>
                <w:i/>
                <w:noProof/>
                <w:color w:val="FF0000"/>
                <w:lang w:val="ro-RO"/>
              </w:rPr>
              <w:t>financiară</w:t>
            </w:r>
            <w:r w:rsidR="00830270" w:rsidRPr="00F300D8">
              <w:rPr>
                <w:i/>
                <w:noProof/>
                <w:color w:val="FF0000"/>
                <w:lang w:val="ro-RO"/>
              </w:rPr>
              <w:t xml:space="preserve"> (secţiunea E</w:t>
            </w:r>
            <w:r w:rsidR="00E85905" w:rsidRPr="00F300D8">
              <w:rPr>
                <w:i/>
                <w:noProof/>
                <w:color w:val="FF0000"/>
                <w:lang w:val="ro-RO"/>
              </w:rPr>
              <w:t>1</w:t>
            </w:r>
            <w:r w:rsidR="00830270" w:rsidRPr="00F300D8">
              <w:rPr>
                <w:i/>
                <w:noProof/>
                <w:color w:val="FF0000"/>
                <w:lang w:val="ro-RO"/>
              </w:rPr>
              <w:t xml:space="preserve"> din Cererera de finanţare) şi secţiunile C şi G din Cererea de finanţare</w:t>
            </w:r>
          </w:p>
        </w:tc>
      </w:tr>
    </w:tbl>
    <w:p w:rsidR="00830270" w:rsidRPr="00F300D8" w:rsidRDefault="00830270" w:rsidP="00D329E9">
      <w:pPr>
        <w:shd w:val="clear" w:color="auto" w:fill="FFFFFF"/>
        <w:spacing w:after="0" w:line="240" w:lineRule="auto"/>
        <w:jc w:val="both"/>
        <w:rPr>
          <w:noProof/>
          <w:color w:val="FF0000"/>
          <w:lang w:val="ro-RO"/>
        </w:rPr>
      </w:pPr>
    </w:p>
    <w:p w:rsidR="00830270" w:rsidRPr="00F300D8" w:rsidRDefault="00830270" w:rsidP="00D329E9">
      <w:pPr>
        <w:shd w:val="clear" w:color="auto" w:fill="FFFFFF"/>
        <w:spacing w:after="0" w:line="240" w:lineRule="auto"/>
        <w:jc w:val="both"/>
        <w:rPr>
          <w:noProof/>
          <w:color w:val="FF0000"/>
          <w:lang w:val="ro-RO"/>
        </w:rPr>
      </w:pPr>
    </w:p>
    <w:p w:rsidR="00830270" w:rsidRPr="00F300D8" w:rsidRDefault="00830270" w:rsidP="00D329E9">
      <w:pPr>
        <w:shd w:val="clear" w:color="auto" w:fill="FFFFFF"/>
        <w:spacing w:after="0" w:line="240" w:lineRule="auto"/>
        <w:jc w:val="both"/>
        <w:rPr>
          <w:noProof/>
          <w:color w:val="FF0000"/>
          <w:lang w:val="ro-RO"/>
        </w:rPr>
      </w:pPr>
    </w:p>
    <w:p w:rsidR="00B1772C" w:rsidRPr="00F300D8" w:rsidRDefault="008F7BA4" w:rsidP="008F7BA4">
      <w:pPr>
        <w:shd w:val="clear" w:color="auto" w:fill="FFFFFF"/>
        <w:spacing w:after="0" w:line="240" w:lineRule="auto"/>
        <w:jc w:val="both"/>
        <w:rPr>
          <w:b/>
          <w:i/>
          <w:noProof/>
          <w:lang w:val="ro-RO"/>
        </w:rPr>
      </w:pPr>
      <w:r w:rsidRPr="00F300D8">
        <w:rPr>
          <w:b/>
          <w:i/>
          <w:noProof/>
          <w:lang w:val="ro-RO"/>
        </w:rPr>
        <w:t xml:space="preserve">Pentru probarea elementelor de mai sus, se pot prezenta şi ataşa, în plus, şi alte </w:t>
      </w:r>
      <w:r w:rsidR="00B34712" w:rsidRPr="00F300D8">
        <w:rPr>
          <w:b/>
          <w:i/>
          <w:noProof/>
          <w:lang w:val="ro-RO"/>
        </w:rPr>
        <w:t xml:space="preserve">informaţii/ </w:t>
      </w:r>
      <w:r w:rsidRPr="00F300D8">
        <w:rPr>
          <w:b/>
          <w:i/>
          <w:noProof/>
          <w:lang w:val="ro-RO"/>
        </w:rPr>
        <w:t>documente faţă de cele solicitate, acolo unde este cazul.</w:t>
      </w:r>
    </w:p>
    <w:p w:rsidR="00DD3C74" w:rsidRPr="00F300D8" w:rsidRDefault="00DD3C74" w:rsidP="008F7BA4">
      <w:pPr>
        <w:shd w:val="clear" w:color="auto" w:fill="FFFFFF"/>
        <w:spacing w:after="0" w:line="240" w:lineRule="auto"/>
        <w:jc w:val="both"/>
        <w:rPr>
          <w:b/>
          <w:i/>
          <w:noProof/>
          <w:szCs w:val="24"/>
          <w:lang w:val="ro-RO"/>
        </w:rPr>
      </w:pPr>
    </w:p>
    <w:p w:rsidR="004B69E6" w:rsidRDefault="00B1772C" w:rsidP="00584E03">
      <w:pPr>
        <w:widowControl w:val="0"/>
        <w:autoSpaceDE w:val="0"/>
        <w:autoSpaceDN w:val="0"/>
        <w:adjustRightInd w:val="0"/>
        <w:spacing w:after="0" w:line="240" w:lineRule="auto"/>
        <w:jc w:val="both"/>
        <w:rPr>
          <w:rFonts w:cstheme="minorHAnsi"/>
        </w:rPr>
      </w:pPr>
      <w:r w:rsidRPr="00F300D8">
        <w:rPr>
          <w:rFonts w:eastAsia="Times New Roman" w:cs="Times New Roman"/>
          <w:b/>
          <w:szCs w:val="24"/>
          <w:lang w:val="ro-RO" w:eastAsia="sk-SK"/>
        </w:rPr>
        <w:t xml:space="preserve">Data:                                              </w:t>
      </w:r>
      <w:r w:rsidR="006222DB" w:rsidRPr="00F300D8">
        <w:rPr>
          <w:rFonts w:eastAsia="Times New Roman" w:cs="Times New Roman"/>
          <w:b/>
          <w:szCs w:val="24"/>
          <w:lang w:val="ro-RO" w:eastAsia="sk-SK"/>
        </w:rPr>
        <w:t xml:space="preserve">     </w:t>
      </w:r>
      <w:r w:rsidRPr="00F300D8">
        <w:rPr>
          <w:rFonts w:eastAsia="Times New Roman" w:cs="Times New Roman"/>
          <w:b/>
          <w:szCs w:val="24"/>
          <w:lang w:val="ro-RO" w:eastAsia="sk-SK"/>
        </w:rPr>
        <w:t xml:space="preserve">   Semnăturǎ reprezentant legal al solicitantului:</w:t>
      </w:r>
    </w:p>
    <w:p w:rsidR="004B69E6" w:rsidRPr="002810DA" w:rsidRDefault="004B69E6" w:rsidP="004B69E6">
      <w:pPr>
        <w:pStyle w:val="ListParagraph"/>
        <w:ind w:left="2430" w:right="244"/>
        <w:jc w:val="both"/>
        <w:rPr>
          <w:rFonts w:cstheme="minorHAnsi"/>
        </w:rPr>
      </w:pPr>
    </w:p>
    <w:p w:rsidR="004B69E6" w:rsidRDefault="004B69E6" w:rsidP="004B69E6">
      <w:pPr>
        <w:widowControl w:val="0"/>
        <w:jc w:val="both"/>
      </w:pPr>
    </w:p>
    <w:p w:rsidR="004B69E6" w:rsidRDefault="004B69E6" w:rsidP="004B69E6">
      <w:pPr>
        <w:widowControl w:val="0"/>
        <w:jc w:val="both"/>
      </w:pPr>
    </w:p>
    <w:sectPr w:rsidR="004B69E6" w:rsidSect="00205561">
      <w:headerReference w:type="default" r:id="rId8"/>
      <w:footerReference w:type="default" r:id="rId9"/>
      <w:pgSz w:w="12240" w:h="15840"/>
      <w:pgMar w:top="109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F48" w:rsidRDefault="00192F48" w:rsidP="00B1772C">
      <w:pPr>
        <w:spacing w:after="0" w:line="240" w:lineRule="auto"/>
      </w:pPr>
      <w:r>
        <w:separator/>
      </w:r>
    </w:p>
  </w:endnote>
  <w:endnote w:type="continuationSeparator" w:id="0">
    <w:p w:rsidR="00192F48" w:rsidRDefault="00192F48"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779712"/>
      <w:docPartObj>
        <w:docPartGallery w:val="Page Numbers (Bottom of Page)"/>
        <w:docPartUnique/>
      </w:docPartObj>
    </w:sdtPr>
    <w:sdtEndPr>
      <w:rPr>
        <w:noProof/>
      </w:rPr>
    </w:sdtEndPr>
    <w:sdtContent>
      <w:p w:rsidR="00635455" w:rsidRDefault="00635455">
        <w:pPr>
          <w:pStyle w:val="Footer"/>
          <w:jc w:val="right"/>
        </w:pPr>
        <w:r>
          <w:fldChar w:fldCharType="begin"/>
        </w:r>
        <w:r>
          <w:instrText xml:space="preserve"> PAGE   \* MERGEFORMAT </w:instrText>
        </w:r>
        <w:r>
          <w:fldChar w:fldCharType="separate"/>
        </w:r>
        <w:r w:rsidR="00E4469D">
          <w:rPr>
            <w:noProof/>
          </w:rPr>
          <w:t>2</w:t>
        </w:r>
        <w:r>
          <w:rPr>
            <w:noProof/>
          </w:rPr>
          <w:fldChar w:fldCharType="end"/>
        </w:r>
      </w:p>
    </w:sdtContent>
  </w:sdt>
  <w:p w:rsidR="00635455" w:rsidRDefault="006354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F48" w:rsidRDefault="00192F48" w:rsidP="00B1772C">
      <w:pPr>
        <w:spacing w:after="0" w:line="240" w:lineRule="auto"/>
      </w:pPr>
      <w:r>
        <w:separator/>
      </w:r>
    </w:p>
  </w:footnote>
  <w:footnote w:type="continuationSeparator" w:id="0">
    <w:p w:rsidR="00192F48" w:rsidRDefault="00192F48" w:rsidP="00B1772C">
      <w:pPr>
        <w:spacing w:after="0" w:line="240" w:lineRule="auto"/>
      </w:pPr>
      <w:r>
        <w:continuationSeparator/>
      </w:r>
    </w:p>
  </w:footnote>
  <w:footnote w:id="1">
    <w:p w:rsidR="00B1772C" w:rsidRPr="00F53592" w:rsidRDefault="00B1772C" w:rsidP="00B1772C">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80B" w:rsidRPr="0042180B" w:rsidRDefault="0064237C" w:rsidP="00205561">
    <w:pPr>
      <w:pStyle w:val="Header"/>
      <w:spacing w:after="240"/>
      <w:rPr>
        <w:sz w:val="16"/>
        <w:szCs w:val="16"/>
        <w:lang w:val="ro-RO"/>
      </w:rPr>
    </w:pPr>
    <w:r>
      <w:rPr>
        <w:sz w:val="16"/>
        <w:szCs w:val="16"/>
        <w:lang w:val="ro-RO"/>
      </w:rPr>
      <w:t>Anexa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64A7C"/>
    <w:multiLevelType w:val="hybridMultilevel"/>
    <w:tmpl w:val="70C6B6B2"/>
    <w:lvl w:ilvl="0" w:tplc="7E7CE08E">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B215016"/>
    <w:multiLevelType w:val="hybridMultilevel"/>
    <w:tmpl w:val="A8EABC94"/>
    <w:lvl w:ilvl="0" w:tplc="3B325EE4">
      <w:start w:val="1"/>
      <w:numFmt w:val="upperRoman"/>
      <w:lvlText w:val="%1."/>
      <w:lvlJc w:val="left"/>
      <w:pPr>
        <w:ind w:left="1080" w:hanging="720"/>
      </w:pPr>
      <w:rPr>
        <w:rFonts w:hint="default"/>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6DC5BDB"/>
    <w:multiLevelType w:val="hybridMultilevel"/>
    <w:tmpl w:val="5A2E1C3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9152B95"/>
    <w:multiLevelType w:val="hybridMultilevel"/>
    <w:tmpl w:val="0284C9A2"/>
    <w:lvl w:ilvl="0" w:tplc="FEF8345C">
      <w:numFmt w:val="bullet"/>
      <w:lvlText w:val="-"/>
      <w:lvlJc w:val="left"/>
      <w:pPr>
        <w:ind w:left="990" w:hanging="360"/>
      </w:pPr>
      <w:rPr>
        <w:rFonts w:ascii="Times New Roman" w:eastAsia="Times New Roman" w:hAnsi="Times New Roman" w:cs="Times New Roman"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5" w15:restartNumberingAfterBreak="0">
    <w:nsid w:val="4F843111"/>
    <w:multiLevelType w:val="hybridMultilevel"/>
    <w:tmpl w:val="F814B652"/>
    <w:lvl w:ilvl="0" w:tplc="A88A4C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 w15:restartNumberingAfterBreak="0">
    <w:nsid w:val="60AE396C"/>
    <w:multiLevelType w:val="hybridMultilevel"/>
    <w:tmpl w:val="6B66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A63F81"/>
    <w:multiLevelType w:val="hybridMultilevel"/>
    <w:tmpl w:val="D4DC832A"/>
    <w:lvl w:ilvl="0" w:tplc="04090003">
      <w:start w:val="1"/>
      <w:numFmt w:val="bullet"/>
      <w:lvlText w:val="o"/>
      <w:lvlJc w:val="left"/>
      <w:pPr>
        <w:ind w:left="1350" w:hanging="360"/>
      </w:pPr>
      <w:rPr>
        <w:rFonts w:ascii="Courier New" w:hAnsi="Courier New" w:cs="Courier New"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0" w15:restartNumberingAfterBreak="0">
    <w:nsid w:val="67BB4EBA"/>
    <w:multiLevelType w:val="hybridMultilevel"/>
    <w:tmpl w:val="03B8E322"/>
    <w:lvl w:ilvl="0" w:tplc="04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1"/>
  </w:num>
  <w:num w:numId="4">
    <w:abstractNumId w:val="12"/>
  </w:num>
  <w:num w:numId="5">
    <w:abstractNumId w:val="2"/>
  </w:num>
  <w:num w:numId="6">
    <w:abstractNumId w:val="7"/>
  </w:num>
  <w:num w:numId="7">
    <w:abstractNumId w:val="8"/>
  </w:num>
  <w:num w:numId="8">
    <w:abstractNumId w:val="1"/>
  </w:num>
  <w:num w:numId="9">
    <w:abstractNumId w:val="5"/>
  </w:num>
  <w:num w:numId="10">
    <w:abstractNumId w:val="9"/>
  </w:num>
  <w:num w:numId="11">
    <w:abstractNumId w:val="4"/>
  </w:num>
  <w:num w:numId="12">
    <w:abstractNumId w:val="3"/>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20B02"/>
    <w:rsid w:val="00022C5B"/>
    <w:rsid w:val="000233F7"/>
    <w:rsid w:val="0004256F"/>
    <w:rsid w:val="00050F00"/>
    <w:rsid w:val="000550B4"/>
    <w:rsid w:val="00057D2B"/>
    <w:rsid w:val="00080494"/>
    <w:rsid w:val="000942D9"/>
    <w:rsid w:val="000A293B"/>
    <w:rsid w:val="000A6FF3"/>
    <w:rsid w:val="000B43F6"/>
    <w:rsid w:val="000C2C4B"/>
    <w:rsid w:val="000C523E"/>
    <w:rsid w:val="000D2351"/>
    <w:rsid w:val="000D30E7"/>
    <w:rsid w:val="000F6D69"/>
    <w:rsid w:val="0010170A"/>
    <w:rsid w:val="00111AD7"/>
    <w:rsid w:val="001135DB"/>
    <w:rsid w:val="0012093D"/>
    <w:rsid w:val="001276E2"/>
    <w:rsid w:val="00131189"/>
    <w:rsid w:val="00132DD7"/>
    <w:rsid w:val="001353D1"/>
    <w:rsid w:val="00136FEB"/>
    <w:rsid w:val="00137F01"/>
    <w:rsid w:val="001405C9"/>
    <w:rsid w:val="00144EC8"/>
    <w:rsid w:val="00157B0B"/>
    <w:rsid w:val="00160A19"/>
    <w:rsid w:val="0016229D"/>
    <w:rsid w:val="001633F9"/>
    <w:rsid w:val="001667E9"/>
    <w:rsid w:val="00166A96"/>
    <w:rsid w:val="001711BB"/>
    <w:rsid w:val="00172F38"/>
    <w:rsid w:val="00174C2D"/>
    <w:rsid w:val="00182B04"/>
    <w:rsid w:val="00192F48"/>
    <w:rsid w:val="00193DD0"/>
    <w:rsid w:val="00195782"/>
    <w:rsid w:val="00196703"/>
    <w:rsid w:val="001A7321"/>
    <w:rsid w:val="001B0957"/>
    <w:rsid w:val="001C1064"/>
    <w:rsid w:val="001D18BB"/>
    <w:rsid w:val="001D2B36"/>
    <w:rsid w:val="001D751A"/>
    <w:rsid w:val="00205561"/>
    <w:rsid w:val="002070C3"/>
    <w:rsid w:val="00215756"/>
    <w:rsid w:val="00233686"/>
    <w:rsid w:val="00240A02"/>
    <w:rsid w:val="00242FE4"/>
    <w:rsid w:val="00243867"/>
    <w:rsid w:val="00261114"/>
    <w:rsid w:val="00267A5D"/>
    <w:rsid w:val="00270CA3"/>
    <w:rsid w:val="00280831"/>
    <w:rsid w:val="0028347C"/>
    <w:rsid w:val="00293849"/>
    <w:rsid w:val="002B7156"/>
    <w:rsid w:val="002B781A"/>
    <w:rsid w:val="002C26AC"/>
    <w:rsid w:val="002C441C"/>
    <w:rsid w:val="00305914"/>
    <w:rsid w:val="00306447"/>
    <w:rsid w:val="00313DD2"/>
    <w:rsid w:val="003222C9"/>
    <w:rsid w:val="0032653A"/>
    <w:rsid w:val="00335A65"/>
    <w:rsid w:val="00335EDD"/>
    <w:rsid w:val="00345637"/>
    <w:rsid w:val="003633A6"/>
    <w:rsid w:val="003653CA"/>
    <w:rsid w:val="00365DF4"/>
    <w:rsid w:val="00372E0F"/>
    <w:rsid w:val="00373896"/>
    <w:rsid w:val="00380FDE"/>
    <w:rsid w:val="00385C74"/>
    <w:rsid w:val="00387FE1"/>
    <w:rsid w:val="00390560"/>
    <w:rsid w:val="003A4060"/>
    <w:rsid w:val="003A45CA"/>
    <w:rsid w:val="003A504C"/>
    <w:rsid w:val="003B1722"/>
    <w:rsid w:val="003B5493"/>
    <w:rsid w:val="003C72AF"/>
    <w:rsid w:val="003D20DF"/>
    <w:rsid w:val="003E12A0"/>
    <w:rsid w:val="003E1CE8"/>
    <w:rsid w:val="003E244B"/>
    <w:rsid w:val="003E3F85"/>
    <w:rsid w:val="003F037D"/>
    <w:rsid w:val="003F2AD4"/>
    <w:rsid w:val="003F2E21"/>
    <w:rsid w:val="004064B1"/>
    <w:rsid w:val="0040695A"/>
    <w:rsid w:val="0040742C"/>
    <w:rsid w:val="0042180B"/>
    <w:rsid w:val="00421E8E"/>
    <w:rsid w:val="00423F5E"/>
    <w:rsid w:val="00424727"/>
    <w:rsid w:val="00445199"/>
    <w:rsid w:val="00457F85"/>
    <w:rsid w:val="00464009"/>
    <w:rsid w:val="004702F6"/>
    <w:rsid w:val="00470838"/>
    <w:rsid w:val="00476BDD"/>
    <w:rsid w:val="00486352"/>
    <w:rsid w:val="00487050"/>
    <w:rsid w:val="00494578"/>
    <w:rsid w:val="004B0351"/>
    <w:rsid w:val="004B09B7"/>
    <w:rsid w:val="004B69E6"/>
    <w:rsid w:val="004C2091"/>
    <w:rsid w:val="004D3930"/>
    <w:rsid w:val="004D50C2"/>
    <w:rsid w:val="004D5A90"/>
    <w:rsid w:val="004D7CCE"/>
    <w:rsid w:val="004E69CC"/>
    <w:rsid w:val="00506A4A"/>
    <w:rsid w:val="005410F1"/>
    <w:rsid w:val="0054297C"/>
    <w:rsid w:val="00544E6B"/>
    <w:rsid w:val="005476DA"/>
    <w:rsid w:val="005566B9"/>
    <w:rsid w:val="00581E9A"/>
    <w:rsid w:val="00584E03"/>
    <w:rsid w:val="00585B52"/>
    <w:rsid w:val="00596BEE"/>
    <w:rsid w:val="005A0950"/>
    <w:rsid w:val="005B1CB7"/>
    <w:rsid w:val="005B25AC"/>
    <w:rsid w:val="005B5C7B"/>
    <w:rsid w:val="005B6F59"/>
    <w:rsid w:val="005C6D39"/>
    <w:rsid w:val="005D0A60"/>
    <w:rsid w:val="005F070F"/>
    <w:rsid w:val="005F3C9B"/>
    <w:rsid w:val="005F5D53"/>
    <w:rsid w:val="005F7190"/>
    <w:rsid w:val="00605CFC"/>
    <w:rsid w:val="00606AD9"/>
    <w:rsid w:val="0061296D"/>
    <w:rsid w:val="00613083"/>
    <w:rsid w:val="0062206D"/>
    <w:rsid w:val="006222DB"/>
    <w:rsid w:val="00624ED0"/>
    <w:rsid w:val="00625C36"/>
    <w:rsid w:val="00632DAE"/>
    <w:rsid w:val="00635455"/>
    <w:rsid w:val="006407F0"/>
    <w:rsid w:val="0064237C"/>
    <w:rsid w:val="006427F7"/>
    <w:rsid w:val="00650E27"/>
    <w:rsid w:val="00652C4F"/>
    <w:rsid w:val="00662A1F"/>
    <w:rsid w:val="00687F6F"/>
    <w:rsid w:val="006A17F2"/>
    <w:rsid w:val="006B1155"/>
    <w:rsid w:val="006B2ABA"/>
    <w:rsid w:val="006B4E75"/>
    <w:rsid w:val="006B67DF"/>
    <w:rsid w:val="006C151E"/>
    <w:rsid w:val="006C4180"/>
    <w:rsid w:val="006D0B35"/>
    <w:rsid w:val="006D6E8A"/>
    <w:rsid w:val="006E0353"/>
    <w:rsid w:val="006E0A1A"/>
    <w:rsid w:val="006E0B97"/>
    <w:rsid w:val="006E26C7"/>
    <w:rsid w:val="006E3B15"/>
    <w:rsid w:val="006E62D3"/>
    <w:rsid w:val="006F429A"/>
    <w:rsid w:val="006F596D"/>
    <w:rsid w:val="006F63A6"/>
    <w:rsid w:val="006F7A9A"/>
    <w:rsid w:val="00700534"/>
    <w:rsid w:val="007007CB"/>
    <w:rsid w:val="00712156"/>
    <w:rsid w:val="00717879"/>
    <w:rsid w:val="0072754C"/>
    <w:rsid w:val="00730028"/>
    <w:rsid w:val="00733388"/>
    <w:rsid w:val="00733A9C"/>
    <w:rsid w:val="00735911"/>
    <w:rsid w:val="007403BE"/>
    <w:rsid w:val="00743E83"/>
    <w:rsid w:val="00751E6B"/>
    <w:rsid w:val="00754D6F"/>
    <w:rsid w:val="00770CE3"/>
    <w:rsid w:val="00790C20"/>
    <w:rsid w:val="00796E6A"/>
    <w:rsid w:val="007A07F9"/>
    <w:rsid w:val="007A2DCC"/>
    <w:rsid w:val="007A4998"/>
    <w:rsid w:val="007B1608"/>
    <w:rsid w:val="007B17E3"/>
    <w:rsid w:val="007C4911"/>
    <w:rsid w:val="007C4A5A"/>
    <w:rsid w:val="007D1316"/>
    <w:rsid w:val="007E13F7"/>
    <w:rsid w:val="007F2198"/>
    <w:rsid w:val="00816A50"/>
    <w:rsid w:val="00816E9B"/>
    <w:rsid w:val="008209F4"/>
    <w:rsid w:val="00824C5B"/>
    <w:rsid w:val="0082538B"/>
    <w:rsid w:val="00830270"/>
    <w:rsid w:val="00830E60"/>
    <w:rsid w:val="00834319"/>
    <w:rsid w:val="0083509A"/>
    <w:rsid w:val="008361B6"/>
    <w:rsid w:val="00837D24"/>
    <w:rsid w:val="00840BF8"/>
    <w:rsid w:val="00840C4E"/>
    <w:rsid w:val="00842827"/>
    <w:rsid w:val="00847344"/>
    <w:rsid w:val="008563D6"/>
    <w:rsid w:val="00860426"/>
    <w:rsid w:val="008735E9"/>
    <w:rsid w:val="00874B80"/>
    <w:rsid w:val="00891660"/>
    <w:rsid w:val="00891DE1"/>
    <w:rsid w:val="008938D8"/>
    <w:rsid w:val="00895655"/>
    <w:rsid w:val="00895ED7"/>
    <w:rsid w:val="008A458D"/>
    <w:rsid w:val="008A6F70"/>
    <w:rsid w:val="008B63F2"/>
    <w:rsid w:val="008B6833"/>
    <w:rsid w:val="008C2EC6"/>
    <w:rsid w:val="008D2621"/>
    <w:rsid w:val="008D43BC"/>
    <w:rsid w:val="008D657E"/>
    <w:rsid w:val="008E072C"/>
    <w:rsid w:val="008E2D91"/>
    <w:rsid w:val="008F7BA4"/>
    <w:rsid w:val="00913A01"/>
    <w:rsid w:val="00920460"/>
    <w:rsid w:val="0092276E"/>
    <w:rsid w:val="00926DA7"/>
    <w:rsid w:val="009326EA"/>
    <w:rsid w:val="009408DB"/>
    <w:rsid w:val="0095388E"/>
    <w:rsid w:val="00964B14"/>
    <w:rsid w:val="00976733"/>
    <w:rsid w:val="00980227"/>
    <w:rsid w:val="009831F0"/>
    <w:rsid w:val="00983F8E"/>
    <w:rsid w:val="00992948"/>
    <w:rsid w:val="00997686"/>
    <w:rsid w:val="009A3300"/>
    <w:rsid w:val="009C4037"/>
    <w:rsid w:val="009D7400"/>
    <w:rsid w:val="009E187A"/>
    <w:rsid w:val="009F67CF"/>
    <w:rsid w:val="009F725C"/>
    <w:rsid w:val="00A10F54"/>
    <w:rsid w:val="00A21098"/>
    <w:rsid w:val="00A22C57"/>
    <w:rsid w:val="00A31866"/>
    <w:rsid w:val="00A40771"/>
    <w:rsid w:val="00A54628"/>
    <w:rsid w:val="00A566F9"/>
    <w:rsid w:val="00A57E97"/>
    <w:rsid w:val="00A7533E"/>
    <w:rsid w:val="00A8102D"/>
    <w:rsid w:val="00A87A2E"/>
    <w:rsid w:val="00A975C5"/>
    <w:rsid w:val="00AA7D67"/>
    <w:rsid w:val="00AC523C"/>
    <w:rsid w:val="00AE032F"/>
    <w:rsid w:val="00AE6114"/>
    <w:rsid w:val="00B00367"/>
    <w:rsid w:val="00B055C5"/>
    <w:rsid w:val="00B1772C"/>
    <w:rsid w:val="00B22CFC"/>
    <w:rsid w:val="00B23684"/>
    <w:rsid w:val="00B266D5"/>
    <w:rsid w:val="00B30125"/>
    <w:rsid w:val="00B31C7F"/>
    <w:rsid w:val="00B34712"/>
    <w:rsid w:val="00B36FE9"/>
    <w:rsid w:val="00B44EEA"/>
    <w:rsid w:val="00B52A1F"/>
    <w:rsid w:val="00B52A23"/>
    <w:rsid w:val="00B54331"/>
    <w:rsid w:val="00B57A33"/>
    <w:rsid w:val="00B612FE"/>
    <w:rsid w:val="00B63EA2"/>
    <w:rsid w:val="00B6618F"/>
    <w:rsid w:val="00B75ADC"/>
    <w:rsid w:val="00B80FF9"/>
    <w:rsid w:val="00B81C7F"/>
    <w:rsid w:val="00B876AD"/>
    <w:rsid w:val="00B900A7"/>
    <w:rsid w:val="00BA0356"/>
    <w:rsid w:val="00BA26D2"/>
    <w:rsid w:val="00BA5EA8"/>
    <w:rsid w:val="00BB0868"/>
    <w:rsid w:val="00BB7DA2"/>
    <w:rsid w:val="00BC11BD"/>
    <w:rsid w:val="00BD0183"/>
    <w:rsid w:val="00BD6E19"/>
    <w:rsid w:val="00BD7D4E"/>
    <w:rsid w:val="00BE0769"/>
    <w:rsid w:val="00BF7A20"/>
    <w:rsid w:val="00C113F2"/>
    <w:rsid w:val="00C1268F"/>
    <w:rsid w:val="00C217DE"/>
    <w:rsid w:val="00C30B3D"/>
    <w:rsid w:val="00C37189"/>
    <w:rsid w:val="00C456E8"/>
    <w:rsid w:val="00C52B94"/>
    <w:rsid w:val="00C607A7"/>
    <w:rsid w:val="00C60BA9"/>
    <w:rsid w:val="00C638F8"/>
    <w:rsid w:val="00C659A3"/>
    <w:rsid w:val="00C70273"/>
    <w:rsid w:val="00C86032"/>
    <w:rsid w:val="00CB1CF6"/>
    <w:rsid w:val="00CC7E04"/>
    <w:rsid w:val="00CE0DB7"/>
    <w:rsid w:val="00CE2433"/>
    <w:rsid w:val="00CE25E6"/>
    <w:rsid w:val="00CE2728"/>
    <w:rsid w:val="00CF1365"/>
    <w:rsid w:val="00CF1CA6"/>
    <w:rsid w:val="00CF6BFC"/>
    <w:rsid w:val="00CF7BF0"/>
    <w:rsid w:val="00D07F39"/>
    <w:rsid w:val="00D15FDB"/>
    <w:rsid w:val="00D254D7"/>
    <w:rsid w:val="00D329E9"/>
    <w:rsid w:val="00D43DAA"/>
    <w:rsid w:val="00D51D87"/>
    <w:rsid w:val="00D52190"/>
    <w:rsid w:val="00D542A8"/>
    <w:rsid w:val="00D72871"/>
    <w:rsid w:val="00D749D4"/>
    <w:rsid w:val="00D860DD"/>
    <w:rsid w:val="00D90E91"/>
    <w:rsid w:val="00DA057D"/>
    <w:rsid w:val="00DA0624"/>
    <w:rsid w:val="00DA60F3"/>
    <w:rsid w:val="00DA6D27"/>
    <w:rsid w:val="00DB6F54"/>
    <w:rsid w:val="00DD3C74"/>
    <w:rsid w:val="00DD6C06"/>
    <w:rsid w:val="00DE06D4"/>
    <w:rsid w:val="00DF74B5"/>
    <w:rsid w:val="00DF7D32"/>
    <w:rsid w:val="00E30934"/>
    <w:rsid w:val="00E34D40"/>
    <w:rsid w:val="00E37048"/>
    <w:rsid w:val="00E4469D"/>
    <w:rsid w:val="00E55645"/>
    <w:rsid w:val="00E73B8B"/>
    <w:rsid w:val="00E77C31"/>
    <w:rsid w:val="00E77D5A"/>
    <w:rsid w:val="00E84BE9"/>
    <w:rsid w:val="00E85905"/>
    <w:rsid w:val="00E947EE"/>
    <w:rsid w:val="00EA0561"/>
    <w:rsid w:val="00EA26A5"/>
    <w:rsid w:val="00EB5A9A"/>
    <w:rsid w:val="00EC794E"/>
    <w:rsid w:val="00ED6327"/>
    <w:rsid w:val="00EE1C7C"/>
    <w:rsid w:val="00EE2762"/>
    <w:rsid w:val="00EF6A2F"/>
    <w:rsid w:val="00F03DAD"/>
    <w:rsid w:val="00F04BD4"/>
    <w:rsid w:val="00F300D8"/>
    <w:rsid w:val="00F3107F"/>
    <w:rsid w:val="00F4372A"/>
    <w:rsid w:val="00FA1700"/>
    <w:rsid w:val="00FA48E0"/>
    <w:rsid w:val="00FA7EC1"/>
    <w:rsid w:val="00FB1D12"/>
    <w:rsid w:val="00FD6907"/>
    <w:rsid w:val="00FE2DC7"/>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BD3B5-4BFF-48C9-8B39-070B1586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paragraph" w:styleId="Heading4">
    <w:name w:val="heading 4"/>
    <w:basedOn w:val="Normal"/>
    <w:next w:val="Normal"/>
    <w:link w:val="Heading4Char"/>
    <w:unhideWhenUsed/>
    <w:qFormat/>
    <w:rsid w:val="006B4E75"/>
    <w:pPr>
      <w:keepNext/>
      <w:keepLines/>
      <w:spacing w:before="40" w:after="120" w:line="259" w:lineRule="auto"/>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4B69E6"/>
    <w:rPr>
      <w:vertAlign w:val="superscript"/>
    </w:rPr>
  </w:style>
  <w:style w:type="character" w:customStyle="1" w:styleId="Heading4Char">
    <w:name w:val="Heading 4 Char"/>
    <w:basedOn w:val="DefaultParagraphFont"/>
    <w:link w:val="Heading4"/>
    <w:rsid w:val="006B4E75"/>
    <w:rPr>
      <w:rFonts w:ascii="Times New Roman" w:eastAsiaTheme="majorEastAsia" w:hAnsi="Times New Roman" w:cstheme="majorBidi"/>
      <w:b/>
      <w:bCs/>
      <w:iCs/>
      <w:sz w:val="24"/>
    </w:rPr>
  </w:style>
  <w:style w:type="character" w:customStyle="1" w:styleId="italic">
    <w:name w:val="italic"/>
    <w:basedOn w:val="DefaultParagraphFont"/>
    <w:rsid w:val="00837D24"/>
  </w:style>
  <w:style w:type="character" w:styleId="Hyperlink">
    <w:name w:val="Hyperlink"/>
    <w:basedOn w:val="DefaultParagraphFont"/>
    <w:uiPriority w:val="99"/>
    <w:unhideWhenUsed/>
    <w:rsid w:val="000D2351"/>
    <w:rPr>
      <w:color w:val="0000FF" w:themeColor="hyperlink"/>
      <w:u w:val="singl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B6F59"/>
    <w:pPr>
      <w:spacing w:after="160" w:line="240" w:lineRule="exact"/>
    </w:pPr>
    <w:rPr>
      <w:rFonts w:asciiTheme="minorHAnsi" w:hAnsiTheme="minorHAnsi"/>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26968">
      <w:bodyDiv w:val="1"/>
      <w:marLeft w:val="0"/>
      <w:marRight w:val="0"/>
      <w:marTop w:val="0"/>
      <w:marBottom w:val="0"/>
      <w:divBdr>
        <w:top w:val="none" w:sz="0" w:space="0" w:color="auto"/>
        <w:left w:val="none" w:sz="0" w:space="0" w:color="auto"/>
        <w:bottom w:val="none" w:sz="0" w:space="0" w:color="auto"/>
        <w:right w:val="none" w:sz="0" w:space="0" w:color="auto"/>
      </w:divBdr>
    </w:div>
    <w:div w:id="684290853">
      <w:bodyDiv w:val="1"/>
      <w:marLeft w:val="0"/>
      <w:marRight w:val="0"/>
      <w:marTop w:val="0"/>
      <w:marBottom w:val="0"/>
      <w:divBdr>
        <w:top w:val="none" w:sz="0" w:space="0" w:color="auto"/>
        <w:left w:val="none" w:sz="0" w:space="0" w:color="auto"/>
        <w:bottom w:val="none" w:sz="0" w:space="0" w:color="auto"/>
        <w:right w:val="none" w:sz="0" w:space="0" w:color="auto"/>
      </w:divBdr>
    </w:div>
    <w:div w:id="188574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BB467-D376-4156-AB11-44F8F70EA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1008</Words>
  <Characters>6384</Characters>
  <Application>Microsoft Office Word</Application>
  <DocSecurity>0</DocSecurity>
  <Lines>187</Lines>
  <Paragraphs>93</Paragraphs>
  <ScaleCrop>false</ScaleCrop>
  <HeadingPairs>
    <vt:vector size="2" baseType="variant">
      <vt:variant>
        <vt:lpstr>Title</vt:lpstr>
      </vt:variant>
      <vt:variant>
        <vt:i4>1</vt:i4>
      </vt:variant>
    </vt:vector>
  </HeadingPairs>
  <TitlesOfParts>
    <vt:vector size="1" baseType="lpstr">
      <vt:lpstr/>
    </vt:vector>
  </TitlesOfParts>
  <Company>MFE</Company>
  <LinksUpToDate>false</LinksUpToDate>
  <CharactersWithSpaces>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AM</cp:lastModifiedBy>
  <cp:revision>2</cp:revision>
  <cp:lastPrinted>2020-08-19T13:16:00Z</cp:lastPrinted>
  <dcterms:created xsi:type="dcterms:W3CDTF">2020-09-16T11:06:00Z</dcterms:created>
  <dcterms:modified xsi:type="dcterms:W3CDTF">2020-09-16T11:06:00Z</dcterms:modified>
</cp:coreProperties>
</file>